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6E" w:rsidRPr="00945450" w:rsidRDefault="00D42F3E" w:rsidP="0037736A">
      <w:pPr>
        <w:jc w:val="center"/>
        <w:rPr>
          <w:rFonts w:ascii="Arial" w:hAnsi="Arial" w:cs="Arial"/>
          <w:b/>
          <w:sz w:val="20"/>
          <w:szCs w:val="20"/>
        </w:rPr>
      </w:pPr>
      <w:bookmarkStart w:id="0" w:name="_GoBack"/>
      <w:bookmarkEnd w:id="0"/>
      <w:r w:rsidRPr="00945450">
        <w:rPr>
          <w:rFonts w:ascii="Arial" w:hAnsi="Arial" w:cs="Arial"/>
          <w:b/>
          <w:sz w:val="20"/>
          <w:szCs w:val="20"/>
        </w:rPr>
        <w:t>Student</w:t>
      </w:r>
      <w:r w:rsidR="004C5320" w:rsidRPr="00945450">
        <w:rPr>
          <w:rFonts w:ascii="Arial" w:hAnsi="Arial" w:cs="Arial"/>
          <w:b/>
          <w:sz w:val="20"/>
          <w:szCs w:val="20"/>
        </w:rPr>
        <w:t xml:space="preserve"> Affairs Committee</w:t>
      </w:r>
    </w:p>
    <w:p w:rsidR="004C5320" w:rsidRPr="00945450" w:rsidRDefault="004C5320" w:rsidP="0037736A">
      <w:pPr>
        <w:jc w:val="center"/>
        <w:rPr>
          <w:rFonts w:ascii="Arial" w:hAnsi="Arial" w:cs="Arial"/>
          <w:b/>
          <w:sz w:val="20"/>
          <w:szCs w:val="20"/>
        </w:rPr>
      </w:pPr>
      <w:r w:rsidRPr="00945450">
        <w:rPr>
          <w:rFonts w:ascii="Arial" w:hAnsi="Arial" w:cs="Arial"/>
          <w:b/>
          <w:sz w:val="20"/>
          <w:szCs w:val="20"/>
        </w:rPr>
        <w:t>Indiana State University</w:t>
      </w:r>
    </w:p>
    <w:p w:rsidR="004C5320" w:rsidRDefault="004C5320" w:rsidP="0037736A">
      <w:pPr>
        <w:jc w:val="center"/>
      </w:pPr>
      <w:r w:rsidRPr="00945450">
        <w:rPr>
          <w:rFonts w:ascii="Arial" w:hAnsi="Arial" w:cs="Arial"/>
          <w:b/>
          <w:sz w:val="20"/>
          <w:szCs w:val="20"/>
        </w:rPr>
        <w:t>Annual Report to the Senate, 20</w:t>
      </w:r>
      <w:r w:rsidR="003A0A38" w:rsidRPr="00945450">
        <w:rPr>
          <w:rFonts w:ascii="Arial" w:hAnsi="Arial" w:cs="Arial"/>
          <w:b/>
          <w:sz w:val="20"/>
          <w:szCs w:val="20"/>
        </w:rPr>
        <w:t>1</w:t>
      </w:r>
      <w:r w:rsidR="00830048" w:rsidRPr="00945450">
        <w:rPr>
          <w:rFonts w:ascii="Arial" w:hAnsi="Arial" w:cs="Arial"/>
          <w:b/>
          <w:sz w:val="20"/>
          <w:szCs w:val="20"/>
        </w:rPr>
        <w:t>2</w:t>
      </w:r>
      <w:r w:rsidR="003A0A38" w:rsidRPr="00945450">
        <w:rPr>
          <w:rFonts w:ascii="Arial" w:hAnsi="Arial" w:cs="Arial"/>
          <w:b/>
          <w:sz w:val="20"/>
          <w:szCs w:val="20"/>
        </w:rPr>
        <w:t>-201</w:t>
      </w:r>
      <w:r w:rsidR="00830048" w:rsidRPr="00945450">
        <w:rPr>
          <w:rFonts w:ascii="Arial" w:hAnsi="Arial" w:cs="Arial"/>
          <w:b/>
          <w:sz w:val="20"/>
          <w:szCs w:val="20"/>
        </w:rPr>
        <w:t>3</w:t>
      </w:r>
    </w:p>
    <w:p w:rsidR="0074726E" w:rsidRDefault="0074726E" w:rsidP="0074726E"/>
    <w:p w:rsidR="004B779A" w:rsidRPr="000F289F" w:rsidRDefault="004B779A" w:rsidP="004B779A">
      <w:pPr>
        <w:rPr>
          <w:rFonts w:ascii="Arial" w:hAnsi="Arial" w:cs="Arial"/>
          <w:sz w:val="20"/>
          <w:szCs w:val="20"/>
        </w:rPr>
      </w:pPr>
      <w:r w:rsidRPr="000F289F">
        <w:rPr>
          <w:rFonts w:ascii="Arial" w:hAnsi="Arial" w:cs="Arial"/>
          <w:sz w:val="20"/>
          <w:szCs w:val="20"/>
        </w:rPr>
        <w:t>The 20</w:t>
      </w:r>
      <w:r w:rsidR="000F289F" w:rsidRPr="000F289F">
        <w:rPr>
          <w:rFonts w:ascii="Arial" w:hAnsi="Arial" w:cs="Arial"/>
          <w:sz w:val="20"/>
          <w:szCs w:val="20"/>
        </w:rPr>
        <w:t>1</w:t>
      </w:r>
      <w:r w:rsidR="00830048">
        <w:rPr>
          <w:rFonts w:ascii="Arial" w:hAnsi="Arial" w:cs="Arial"/>
          <w:sz w:val="20"/>
          <w:szCs w:val="20"/>
        </w:rPr>
        <w:t>2</w:t>
      </w:r>
      <w:r w:rsidR="000F289F" w:rsidRPr="000F289F">
        <w:rPr>
          <w:rFonts w:ascii="Arial" w:hAnsi="Arial" w:cs="Arial"/>
          <w:sz w:val="20"/>
          <w:szCs w:val="20"/>
        </w:rPr>
        <w:t>-201</w:t>
      </w:r>
      <w:r w:rsidR="00830048">
        <w:rPr>
          <w:rFonts w:ascii="Arial" w:hAnsi="Arial" w:cs="Arial"/>
          <w:sz w:val="20"/>
          <w:szCs w:val="20"/>
        </w:rPr>
        <w:t>3</w:t>
      </w:r>
      <w:r w:rsidRPr="000F289F">
        <w:rPr>
          <w:rFonts w:ascii="Arial" w:hAnsi="Arial" w:cs="Arial"/>
          <w:sz w:val="20"/>
          <w:szCs w:val="20"/>
        </w:rPr>
        <w:t xml:space="preserve"> </w:t>
      </w:r>
      <w:r w:rsidR="00D42F3E" w:rsidRPr="000F289F">
        <w:rPr>
          <w:rFonts w:ascii="Arial" w:hAnsi="Arial" w:cs="Arial"/>
          <w:sz w:val="20"/>
          <w:szCs w:val="20"/>
        </w:rPr>
        <w:t>Student Affairs Committee (S</w:t>
      </w:r>
      <w:r w:rsidRPr="000F289F">
        <w:rPr>
          <w:rFonts w:ascii="Arial" w:hAnsi="Arial" w:cs="Arial"/>
          <w:sz w:val="20"/>
          <w:szCs w:val="20"/>
        </w:rPr>
        <w:t xml:space="preserve">AC) has had </w:t>
      </w:r>
      <w:r w:rsidR="00D42F3E" w:rsidRPr="000F289F">
        <w:rPr>
          <w:rFonts w:ascii="Arial" w:hAnsi="Arial" w:cs="Arial"/>
          <w:sz w:val="20"/>
          <w:szCs w:val="20"/>
        </w:rPr>
        <w:t xml:space="preserve">eight regularly scheduled </w:t>
      </w:r>
      <w:r w:rsidRPr="000F289F">
        <w:rPr>
          <w:rFonts w:ascii="Arial" w:hAnsi="Arial" w:cs="Arial"/>
          <w:sz w:val="20"/>
          <w:szCs w:val="20"/>
        </w:rPr>
        <w:t>meetings this year</w:t>
      </w:r>
      <w:r w:rsidR="00D42F3E" w:rsidRPr="000F289F">
        <w:rPr>
          <w:rFonts w:ascii="Arial" w:hAnsi="Arial" w:cs="Arial"/>
          <w:sz w:val="20"/>
          <w:szCs w:val="20"/>
        </w:rPr>
        <w:t>, beginning with the organizational meeting in September and one in each of the succeeding months.</w:t>
      </w:r>
      <w:r w:rsidRPr="000F289F">
        <w:rPr>
          <w:rFonts w:ascii="Arial" w:hAnsi="Arial" w:cs="Arial"/>
          <w:sz w:val="20"/>
          <w:szCs w:val="20"/>
        </w:rPr>
        <w:t xml:space="preserve">  </w:t>
      </w:r>
    </w:p>
    <w:p w:rsidR="004B779A" w:rsidRPr="000B0B9F" w:rsidRDefault="004B779A" w:rsidP="004B779A">
      <w:pPr>
        <w:spacing w:before="100" w:beforeAutospacing="1" w:after="100" w:afterAutospacing="1"/>
        <w:rPr>
          <w:color w:val="FF0000"/>
        </w:rPr>
      </w:pPr>
      <w:r w:rsidRPr="000F289F">
        <w:rPr>
          <w:rFonts w:ascii="Arial" w:hAnsi="Arial" w:cs="Arial"/>
          <w:sz w:val="20"/>
          <w:szCs w:val="20"/>
        </w:rPr>
        <w:t>Membership and attendance of the 20</w:t>
      </w:r>
      <w:r w:rsidR="00154FF9" w:rsidRPr="000F289F">
        <w:rPr>
          <w:rFonts w:ascii="Arial" w:hAnsi="Arial" w:cs="Arial"/>
          <w:sz w:val="20"/>
          <w:szCs w:val="20"/>
        </w:rPr>
        <w:t>1</w:t>
      </w:r>
      <w:r w:rsidR="00830048">
        <w:rPr>
          <w:rFonts w:ascii="Arial" w:hAnsi="Arial" w:cs="Arial"/>
          <w:sz w:val="20"/>
          <w:szCs w:val="20"/>
        </w:rPr>
        <w:t>2</w:t>
      </w:r>
      <w:r w:rsidRPr="000F289F">
        <w:rPr>
          <w:rFonts w:ascii="Arial" w:hAnsi="Arial" w:cs="Arial"/>
          <w:sz w:val="20"/>
          <w:szCs w:val="20"/>
        </w:rPr>
        <w:t>-201</w:t>
      </w:r>
      <w:r w:rsidR="00830048">
        <w:rPr>
          <w:rFonts w:ascii="Arial" w:hAnsi="Arial" w:cs="Arial"/>
          <w:sz w:val="20"/>
          <w:szCs w:val="20"/>
        </w:rPr>
        <w:t>3</w:t>
      </w:r>
      <w:r w:rsidRPr="000F289F">
        <w:rPr>
          <w:rFonts w:ascii="Arial" w:hAnsi="Arial" w:cs="Arial"/>
          <w:sz w:val="20"/>
          <w:szCs w:val="20"/>
        </w:rPr>
        <w:t xml:space="preserve"> Committee is listed </w:t>
      </w:r>
      <w:r w:rsidR="001069A1" w:rsidRPr="000F289F">
        <w:rPr>
          <w:rFonts w:ascii="Arial" w:hAnsi="Arial" w:cs="Arial"/>
          <w:sz w:val="20"/>
          <w:szCs w:val="20"/>
        </w:rPr>
        <w:t xml:space="preserve">in the table </w:t>
      </w:r>
      <w:r w:rsidRPr="000F289F">
        <w:rPr>
          <w:rFonts w:ascii="Arial" w:hAnsi="Arial" w:cs="Arial"/>
          <w:sz w:val="20"/>
          <w:szCs w:val="20"/>
        </w:rPr>
        <w:t>below</w:t>
      </w:r>
      <w:r w:rsidRPr="000407A0">
        <w:t>:</w:t>
      </w:r>
      <w:r w:rsidR="000B0B9F">
        <w:t xml:space="preserve"> </w:t>
      </w:r>
    </w:p>
    <w:tbl>
      <w:tblPr>
        <w:tblStyle w:val="TableGrid"/>
        <w:tblW w:w="0" w:type="auto"/>
        <w:tblLook w:val="04A0" w:firstRow="1" w:lastRow="0" w:firstColumn="1" w:lastColumn="0" w:noHBand="0" w:noVBand="1"/>
      </w:tblPr>
      <w:tblGrid>
        <w:gridCol w:w="5238"/>
        <w:gridCol w:w="2169"/>
        <w:gridCol w:w="2169"/>
      </w:tblGrid>
      <w:tr w:rsidR="00D42F3E" w:rsidTr="002E0B05">
        <w:tc>
          <w:tcPr>
            <w:tcW w:w="5238" w:type="dxa"/>
          </w:tcPr>
          <w:p w:rsidR="00D42F3E" w:rsidRPr="000F289F" w:rsidRDefault="00D42F3E" w:rsidP="001069A1">
            <w:pPr>
              <w:jc w:val="center"/>
              <w:rPr>
                <w:rFonts w:ascii="Arial" w:hAnsi="Arial" w:cs="Arial"/>
                <w:b/>
                <w:sz w:val="20"/>
                <w:szCs w:val="20"/>
              </w:rPr>
            </w:pPr>
            <w:r w:rsidRPr="000F289F">
              <w:rPr>
                <w:rFonts w:ascii="Arial" w:hAnsi="Arial" w:cs="Arial"/>
                <w:b/>
                <w:sz w:val="20"/>
                <w:szCs w:val="20"/>
              </w:rPr>
              <w:t>Member</w:t>
            </w:r>
          </w:p>
        </w:tc>
        <w:tc>
          <w:tcPr>
            <w:tcW w:w="2169" w:type="dxa"/>
          </w:tcPr>
          <w:p w:rsidR="00D42F3E" w:rsidRPr="000F289F" w:rsidRDefault="00D42F3E" w:rsidP="001069A1">
            <w:pPr>
              <w:jc w:val="center"/>
              <w:rPr>
                <w:rFonts w:ascii="Arial" w:hAnsi="Arial" w:cs="Arial"/>
                <w:b/>
                <w:sz w:val="20"/>
                <w:szCs w:val="20"/>
              </w:rPr>
            </w:pPr>
            <w:r w:rsidRPr="000F289F">
              <w:rPr>
                <w:rFonts w:ascii="Arial" w:hAnsi="Arial" w:cs="Arial"/>
                <w:b/>
                <w:sz w:val="20"/>
                <w:szCs w:val="20"/>
              </w:rPr>
              <w:t>Meetings to Attend</w:t>
            </w:r>
          </w:p>
        </w:tc>
        <w:tc>
          <w:tcPr>
            <w:tcW w:w="2169" w:type="dxa"/>
          </w:tcPr>
          <w:p w:rsidR="00D42F3E" w:rsidRPr="000F289F" w:rsidRDefault="00D42F3E" w:rsidP="001069A1">
            <w:pPr>
              <w:jc w:val="center"/>
              <w:rPr>
                <w:rFonts w:ascii="Arial" w:hAnsi="Arial" w:cs="Arial"/>
                <w:b/>
                <w:sz w:val="20"/>
                <w:szCs w:val="20"/>
              </w:rPr>
            </w:pPr>
            <w:r w:rsidRPr="000F289F">
              <w:rPr>
                <w:rFonts w:ascii="Arial" w:hAnsi="Arial" w:cs="Arial"/>
                <w:b/>
                <w:sz w:val="20"/>
                <w:szCs w:val="20"/>
              </w:rPr>
              <w:t>Meetings Attended</w:t>
            </w:r>
          </w:p>
        </w:tc>
      </w:tr>
      <w:tr w:rsidR="00D42F3E" w:rsidTr="002E0B05">
        <w:tc>
          <w:tcPr>
            <w:tcW w:w="5238" w:type="dxa"/>
          </w:tcPr>
          <w:p w:rsidR="00D42F3E" w:rsidRPr="000F289F" w:rsidRDefault="00D42F3E" w:rsidP="00B35A31">
            <w:pPr>
              <w:rPr>
                <w:rFonts w:ascii="Arial" w:hAnsi="Arial" w:cs="Arial"/>
                <w:sz w:val="20"/>
                <w:szCs w:val="20"/>
              </w:rPr>
            </w:pPr>
            <w:r w:rsidRPr="000F289F">
              <w:rPr>
                <w:rFonts w:ascii="Arial" w:hAnsi="Arial" w:cs="Arial"/>
                <w:sz w:val="20"/>
                <w:szCs w:val="20"/>
              </w:rPr>
              <w:t>Jim Buffington (Chair)</w:t>
            </w:r>
          </w:p>
        </w:tc>
        <w:tc>
          <w:tcPr>
            <w:tcW w:w="2169" w:type="dxa"/>
          </w:tcPr>
          <w:p w:rsidR="00D42F3E" w:rsidRPr="000F289F" w:rsidRDefault="001069A1" w:rsidP="001069A1">
            <w:pPr>
              <w:jc w:val="center"/>
              <w:rPr>
                <w:rFonts w:ascii="Arial" w:hAnsi="Arial" w:cs="Arial"/>
                <w:sz w:val="20"/>
                <w:szCs w:val="20"/>
              </w:rPr>
            </w:pPr>
            <w:r w:rsidRPr="000F289F">
              <w:rPr>
                <w:rFonts w:ascii="Arial" w:hAnsi="Arial" w:cs="Arial"/>
                <w:sz w:val="20"/>
                <w:szCs w:val="20"/>
              </w:rPr>
              <w:t>8</w:t>
            </w:r>
          </w:p>
        </w:tc>
        <w:tc>
          <w:tcPr>
            <w:tcW w:w="2169" w:type="dxa"/>
          </w:tcPr>
          <w:p w:rsidR="00D42F3E" w:rsidRPr="000F289F" w:rsidRDefault="001069A1" w:rsidP="001069A1">
            <w:pPr>
              <w:jc w:val="center"/>
              <w:rPr>
                <w:rFonts w:ascii="Arial" w:hAnsi="Arial" w:cs="Arial"/>
                <w:sz w:val="20"/>
                <w:szCs w:val="20"/>
              </w:rPr>
            </w:pPr>
            <w:r w:rsidRPr="000F289F">
              <w:rPr>
                <w:rFonts w:ascii="Arial" w:hAnsi="Arial" w:cs="Arial"/>
                <w:sz w:val="20"/>
                <w:szCs w:val="20"/>
              </w:rPr>
              <w:t>8</w:t>
            </w:r>
          </w:p>
        </w:tc>
      </w:tr>
      <w:tr w:rsidR="00D42F3E" w:rsidTr="002E0B05">
        <w:tc>
          <w:tcPr>
            <w:tcW w:w="5238" w:type="dxa"/>
          </w:tcPr>
          <w:p w:rsidR="00D42F3E" w:rsidRPr="000F289F" w:rsidRDefault="00830048" w:rsidP="00B35A31">
            <w:pPr>
              <w:rPr>
                <w:rFonts w:ascii="Arial" w:hAnsi="Arial" w:cs="Arial"/>
                <w:sz w:val="20"/>
                <w:szCs w:val="20"/>
              </w:rPr>
            </w:pPr>
            <w:proofErr w:type="spellStart"/>
            <w:r>
              <w:rPr>
                <w:rFonts w:ascii="Arial" w:hAnsi="Arial" w:cs="Arial"/>
                <w:sz w:val="20"/>
                <w:szCs w:val="20"/>
              </w:rPr>
              <w:t>Swapan</w:t>
            </w:r>
            <w:proofErr w:type="spellEnd"/>
            <w:r>
              <w:rPr>
                <w:rFonts w:ascii="Arial" w:hAnsi="Arial" w:cs="Arial"/>
                <w:sz w:val="20"/>
                <w:szCs w:val="20"/>
              </w:rPr>
              <w:t xml:space="preserve"> </w:t>
            </w:r>
            <w:proofErr w:type="spellStart"/>
            <w:r>
              <w:rPr>
                <w:rFonts w:ascii="Arial" w:hAnsi="Arial" w:cs="Arial"/>
                <w:sz w:val="20"/>
                <w:szCs w:val="20"/>
              </w:rPr>
              <w:t>Ghosh</w:t>
            </w:r>
            <w:proofErr w:type="spellEnd"/>
          </w:p>
        </w:tc>
        <w:tc>
          <w:tcPr>
            <w:tcW w:w="2169" w:type="dxa"/>
          </w:tcPr>
          <w:p w:rsidR="00D42F3E" w:rsidRPr="000F289F" w:rsidRDefault="001069A1" w:rsidP="001069A1">
            <w:pPr>
              <w:jc w:val="center"/>
              <w:rPr>
                <w:rFonts w:ascii="Arial" w:hAnsi="Arial" w:cs="Arial"/>
                <w:sz w:val="20"/>
                <w:szCs w:val="20"/>
              </w:rPr>
            </w:pPr>
            <w:r w:rsidRPr="000F289F">
              <w:rPr>
                <w:rFonts w:ascii="Arial" w:hAnsi="Arial" w:cs="Arial"/>
                <w:sz w:val="20"/>
                <w:szCs w:val="20"/>
              </w:rPr>
              <w:t>8</w:t>
            </w:r>
          </w:p>
        </w:tc>
        <w:tc>
          <w:tcPr>
            <w:tcW w:w="2169" w:type="dxa"/>
          </w:tcPr>
          <w:p w:rsidR="00D42F3E" w:rsidRPr="000F289F" w:rsidRDefault="001069A1" w:rsidP="001069A1">
            <w:pPr>
              <w:jc w:val="center"/>
              <w:rPr>
                <w:rFonts w:ascii="Arial" w:hAnsi="Arial" w:cs="Arial"/>
                <w:sz w:val="20"/>
                <w:szCs w:val="20"/>
              </w:rPr>
            </w:pPr>
            <w:r w:rsidRPr="000F289F">
              <w:rPr>
                <w:rFonts w:ascii="Arial" w:hAnsi="Arial" w:cs="Arial"/>
                <w:sz w:val="20"/>
                <w:szCs w:val="20"/>
              </w:rPr>
              <w:t>7</w:t>
            </w:r>
          </w:p>
        </w:tc>
      </w:tr>
      <w:tr w:rsidR="00D42F3E" w:rsidTr="002E0B05">
        <w:tc>
          <w:tcPr>
            <w:tcW w:w="5238" w:type="dxa"/>
          </w:tcPr>
          <w:p w:rsidR="00D42F3E" w:rsidRPr="000F289F" w:rsidRDefault="00154FF9" w:rsidP="001168C7">
            <w:pPr>
              <w:rPr>
                <w:rFonts w:ascii="Arial" w:hAnsi="Arial" w:cs="Arial"/>
                <w:sz w:val="20"/>
                <w:szCs w:val="20"/>
              </w:rPr>
            </w:pPr>
            <w:r w:rsidRPr="000F289F">
              <w:rPr>
                <w:rFonts w:ascii="Arial" w:hAnsi="Arial" w:cs="Arial"/>
                <w:sz w:val="20"/>
                <w:szCs w:val="20"/>
              </w:rPr>
              <w:t>Cheryl Blevens</w:t>
            </w:r>
            <w:r w:rsidR="00830048">
              <w:rPr>
                <w:rFonts w:ascii="Arial" w:hAnsi="Arial" w:cs="Arial"/>
                <w:sz w:val="20"/>
                <w:szCs w:val="20"/>
              </w:rPr>
              <w:t xml:space="preserve"> (Secretar</w:t>
            </w:r>
            <w:r w:rsidR="00D42F3E" w:rsidRPr="000F289F">
              <w:rPr>
                <w:rFonts w:ascii="Arial" w:hAnsi="Arial" w:cs="Arial"/>
                <w:sz w:val="20"/>
                <w:szCs w:val="20"/>
              </w:rPr>
              <w:t>y)</w:t>
            </w:r>
          </w:p>
        </w:tc>
        <w:tc>
          <w:tcPr>
            <w:tcW w:w="2169" w:type="dxa"/>
          </w:tcPr>
          <w:p w:rsidR="00D42F3E" w:rsidRPr="000F289F" w:rsidRDefault="001069A1" w:rsidP="001069A1">
            <w:pPr>
              <w:jc w:val="center"/>
              <w:rPr>
                <w:rFonts w:ascii="Arial" w:hAnsi="Arial" w:cs="Arial"/>
                <w:sz w:val="20"/>
                <w:szCs w:val="20"/>
              </w:rPr>
            </w:pPr>
            <w:r w:rsidRPr="000F289F">
              <w:rPr>
                <w:rFonts w:ascii="Arial" w:hAnsi="Arial" w:cs="Arial"/>
                <w:sz w:val="20"/>
                <w:szCs w:val="20"/>
              </w:rPr>
              <w:t>8</w:t>
            </w:r>
          </w:p>
        </w:tc>
        <w:tc>
          <w:tcPr>
            <w:tcW w:w="2169" w:type="dxa"/>
          </w:tcPr>
          <w:p w:rsidR="00D42F3E" w:rsidRPr="000F289F" w:rsidRDefault="00830048" w:rsidP="001069A1">
            <w:pPr>
              <w:jc w:val="center"/>
              <w:rPr>
                <w:rFonts w:ascii="Arial" w:hAnsi="Arial" w:cs="Arial"/>
                <w:sz w:val="20"/>
                <w:szCs w:val="20"/>
              </w:rPr>
            </w:pPr>
            <w:r>
              <w:rPr>
                <w:rFonts w:ascii="Arial" w:hAnsi="Arial" w:cs="Arial"/>
                <w:sz w:val="20"/>
                <w:szCs w:val="20"/>
              </w:rPr>
              <w:t>6</w:t>
            </w:r>
          </w:p>
        </w:tc>
      </w:tr>
      <w:tr w:rsidR="00D42F3E" w:rsidTr="002E0B05">
        <w:tc>
          <w:tcPr>
            <w:tcW w:w="5238" w:type="dxa"/>
          </w:tcPr>
          <w:p w:rsidR="00D42F3E" w:rsidRPr="000F289F" w:rsidRDefault="00830048" w:rsidP="001168C7">
            <w:pPr>
              <w:rPr>
                <w:rFonts w:ascii="Arial" w:hAnsi="Arial" w:cs="Arial"/>
                <w:sz w:val="20"/>
                <w:szCs w:val="20"/>
              </w:rPr>
            </w:pPr>
            <w:r>
              <w:rPr>
                <w:rFonts w:ascii="Arial" w:hAnsi="Arial" w:cs="Arial"/>
                <w:sz w:val="20"/>
                <w:szCs w:val="20"/>
              </w:rPr>
              <w:t>Azizi Arrington-Bey</w:t>
            </w:r>
            <w:r w:rsidR="00021244">
              <w:rPr>
                <w:rFonts w:ascii="Arial" w:hAnsi="Arial" w:cs="Arial"/>
                <w:sz w:val="20"/>
                <w:szCs w:val="20"/>
              </w:rPr>
              <w:t xml:space="preserve"> (Assistant Secretary)</w:t>
            </w:r>
          </w:p>
        </w:tc>
        <w:tc>
          <w:tcPr>
            <w:tcW w:w="2169" w:type="dxa"/>
          </w:tcPr>
          <w:p w:rsidR="00D42F3E" w:rsidRPr="000F289F" w:rsidRDefault="001069A1" w:rsidP="001069A1">
            <w:pPr>
              <w:jc w:val="center"/>
              <w:rPr>
                <w:rFonts w:ascii="Arial" w:hAnsi="Arial" w:cs="Arial"/>
                <w:sz w:val="20"/>
                <w:szCs w:val="20"/>
              </w:rPr>
            </w:pPr>
            <w:r w:rsidRPr="000F289F">
              <w:rPr>
                <w:rFonts w:ascii="Arial" w:hAnsi="Arial" w:cs="Arial"/>
                <w:sz w:val="20"/>
                <w:szCs w:val="20"/>
              </w:rPr>
              <w:t>8</w:t>
            </w:r>
          </w:p>
        </w:tc>
        <w:tc>
          <w:tcPr>
            <w:tcW w:w="2169" w:type="dxa"/>
          </w:tcPr>
          <w:p w:rsidR="00D42F3E" w:rsidRPr="000F289F" w:rsidRDefault="00830048" w:rsidP="001069A1">
            <w:pPr>
              <w:jc w:val="center"/>
              <w:rPr>
                <w:rFonts w:ascii="Arial" w:hAnsi="Arial" w:cs="Arial"/>
                <w:sz w:val="20"/>
                <w:szCs w:val="20"/>
              </w:rPr>
            </w:pPr>
            <w:r>
              <w:rPr>
                <w:rFonts w:ascii="Arial" w:hAnsi="Arial" w:cs="Arial"/>
                <w:sz w:val="20"/>
                <w:szCs w:val="20"/>
              </w:rPr>
              <w:t>8</w:t>
            </w:r>
          </w:p>
        </w:tc>
      </w:tr>
      <w:tr w:rsidR="00D42F3E" w:rsidTr="002E0B05">
        <w:tc>
          <w:tcPr>
            <w:tcW w:w="5238" w:type="dxa"/>
          </w:tcPr>
          <w:p w:rsidR="00D42F3E" w:rsidRPr="000F289F" w:rsidRDefault="00830048" w:rsidP="001168C7">
            <w:pPr>
              <w:rPr>
                <w:rFonts w:ascii="Arial" w:hAnsi="Arial" w:cs="Arial"/>
                <w:sz w:val="20"/>
                <w:szCs w:val="20"/>
              </w:rPr>
            </w:pPr>
            <w:r>
              <w:rPr>
                <w:rFonts w:ascii="Arial" w:hAnsi="Arial" w:cs="Arial"/>
                <w:sz w:val="20"/>
                <w:szCs w:val="20"/>
              </w:rPr>
              <w:t>Della Thacker</w:t>
            </w:r>
            <w:r w:rsidR="00021244">
              <w:rPr>
                <w:rFonts w:ascii="Arial" w:hAnsi="Arial" w:cs="Arial"/>
                <w:sz w:val="20"/>
                <w:szCs w:val="20"/>
              </w:rPr>
              <w:t xml:space="preserve"> (Vice-Chair)</w:t>
            </w:r>
          </w:p>
        </w:tc>
        <w:tc>
          <w:tcPr>
            <w:tcW w:w="2169" w:type="dxa"/>
          </w:tcPr>
          <w:p w:rsidR="00D42F3E" w:rsidRPr="000F289F" w:rsidRDefault="00830048" w:rsidP="001069A1">
            <w:pPr>
              <w:jc w:val="center"/>
              <w:rPr>
                <w:rFonts w:ascii="Arial" w:hAnsi="Arial" w:cs="Arial"/>
                <w:sz w:val="20"/>
                <w:szCs w:val="20"/>
              </w:rPr>
            </w:pPr>
            <w:r>
              <w:rPr>
                <w:rFonts w:ascii="Arial" w:hAnsi="Arial" w:cs="Arial"/>
                <w:sz w:val="20"/>
                <w:szCs w:val="20"/>
              </w:rPr>
              <w:t>8</w:t>
            </w:r>
          </w:p>
        </w:tc>
        <w:tc>
          <w:tcPr>
            <w:tcW w:w="2169" w:type="dxa"/>
          </w:tcPr>
          <w:p w:rsidR="00D42F3E" w:rsidRPr="000F289F" w:rsidRDefault="000D3D60" w:rsidP="001069A1">
            <w:pPr>
              <w:jc w:val="center"/>
              <w:rPr>
                <w:rFonts w:ascii="Arial" w:hAnsi="Arial" w:cs="Arial"/>
                <w:sz w:val="20"/>
                <w:szCs w:val="20"/>
              </w:rPr>
            </w:pPr>
            <w:r>
              <w:rPr>
                <w:rFonts w:ascii="Arial" w:hAnsi="Arial" w:cs="Arial"/>
                <w:sz w:val="20"/>
                <w:szCs w:val="20"/>
              </w:rPr>
              <w:t>7</w:t>
            </w:r>
          </w:p>
        </w:tc>
      </w:tr>
      <w:tr w:rsidR="00D42F3E" w:rsidTr="002E0B05">
        <w:tc>
          <w:tcPr>
            <w:tcW w:w="5238" w:type="dxa"/>
          </w:tcPr>
          <w:p w:rsidR="00D42F3E" w:rsidRPr="000F289F" w:rsidRDefault="00830048" w:rsidP="001168C7">
            <w:pPr>
              <w:rPr>
                <w:rFonts w:ascii="Arial" w:hAnsi="Arial" w:cs="Arial"/>
                <w:sz w:val="20"/>
                <w:szCs w:val="20"/>
              </w:rPr>
            </w:pPr>
            <w:r>
              <w:rPr>
                <w:rFonts w:ascii="Arial" w:hAnsi="Arial" w:cs="Arial"/>
                <w:sz w:val="20"/>
                <w:szCs w:val="20"/>
              </w:rPr>
              <w:t>John Liu</w:t>
            </w:r>
          </w:p>
        </w:tc>
        <w:tc>
          <w:tcPr>
            <w:tcW w:w="2169" w:type="dxa"/>
          </w:tcPr>
          <w:p w:rsidR="00D42F3E" w:rsidRPr="000F289F" w:rsidRDefault="001069A1" w:rsidP="001069A1">
            <w:pPr>
              <w:jc w:val="center"/>
              <w:rPr>
                <w:rFonts w:ascii="Arial" w:hAnsi="Arial" w:cs="Arial"/>
                <w:sz w:val="20"/>
                <w:szCs w:val="20"/>
              </w:rPr>
            </w:pPr>
            <w:r w:rsidRPr="000F289F">
              <w:rPr>
                <w:rFonts w:ascii="Arial" w:hAnsi="Arial" w:cs="Arial"/>
                <w:sz w:val="20"/>
                <w:szCs w:val="20"/>
              </w:rPr>
              <w:t>8</w:t>
            </w:r>
          </w:p>
        </w:tc>
        <w:tc>
          <w:tcPr>
            <w:tcW w:w="2169" w:type="dxa"/>
          </w:tcPr>
          <w:p w:rsidR="00D42F3E" w:rsidRPr="000F289F" w:rsidRDefault="000D3D60" w:rsidP="001069A1">
            <w:pPr>
              <w:jc w:val="center"/>
              <w:rPr>
                <w:rFonts w:ascii="Arial" w:hAnsi="Arial" w:cs="Arial"/>
                <w:sz w:val="20"/>
                <w:szCs w:val="20"/>
              </w:rPr>
            </w:pPr>
            <w:r>
              <w:rPr>
                <w:rFonts w:ascii="Arial" w:hAnsi="Arial" w:cs="Arial"/>
                <w:sz w:val="20"/>
                <w:szCs w:val="20"/>
              </w:rPr>
              <w:t>8</w:t>
            </w:r>
          </w:p>
        </w:tc>
      </w:tr>
      <w:tr w:rsidR="001069A1" w:rsidTr="002E0B05">
        <w:tc>
          <w:tcPr>
            <w:tcW w:w="5238" w:type="dxa"/>
          </w:tcPr>
          <w:p w:rsidR="001069A1" w:rsidRPr="000F289F" w:rsidRDefault="00830048" w:rsidP="001168C7">
            <w:pPr>
              <w:rPr>
                <w:rFonts w:ascii="Arial" w:hAnsi="Arial" w:cs="Arial"/>
                <w:sz w:val="20"/>
                <w:szCs w:val="20"/>
              </w:rPr>
            </w:pPr>
            <w:r>
              <w:rPr>
                <w:rFonts w:ascii="Arial" w:hAnsi="Arial" w:cs="Arial"/>
                <w:sz w:val="20"/>
                <w:szCs w:val="20"/>
              </w:rPr>
              <w:t>Jake Jakaitis (fall only)</w:t>
            </w:r>
          </w:p>
        </w:tc>
        <w:tc>
          <w:tcPr>
            <w:tcW w:w="2169" w:type="dxa"/>
          </w:tcPr>
          <w:p w:rsidR="001069A1" w:rsidRPr="000F289F" w:rsidRDefault="00830048" w:rsidP="001069A1">
            <w:pPr>
              <w:jc w:val="center"/>
              <w:rPr>
                <w:rFonts w:ascii="Arial" w:hAnsi="Arial" w:cs="Arial"/>
                <w:sz w:val="20"/>
                <w:szCs w:val="20"/>
              </w:rPr>
            </w:pPr>
            <w:r>
              <w:rPr>
                <w:rFonts w:ascii="Arial" w:hAnsi="Arial" w:cs="Arial"/>
                <w:sz w:val="20"/>
                <w:szCs w:val="20"/>
              </w:rPr>
              <w:t>4</w:t>
            </w:r>
          </w:p>
        </w:tc>
        <w:tc>
          <w:tcPr>
            <w:tcW w:w="2169" w:type="dxa"/>
          </w:tcPr>
          <w:p w:rsidR="001069A1" w:rsidRPr="000F289F" w:rsidRDefault="00830048" w:rsidP="001069A1">
            <w:pPr>
              <w:jc w:val="center"/>
              <w:rPr>
                <w:rFonts w:ascii="Arial" w:hAnsi="Arial" w:cs="Arial"/>
                <w:sz w:val="20"/>
                <w:szCs w:val="20"/>
              </w:rPr>
            </w:pPr>
            <w:r>
              <w:rPr>
                <w:rFonts w:ascii="Arial" w:hAnsi="Arial" w:cs="Arial"/>
                <w:sz w:val="20"/>
                <w:szCs w:val="20"/>
              </w:rPr>
              <w:t>4</w:t>
            </w:r>
          </w:p>
        </w:tc>
      </w:tr>
      <w:tr w:rsidR="00830048" w:rsidTr="002E0B05">
        <w:tc>
          <w:tcPr>
            <w:tcW w:w="5238" w:type="dxa"/>
          </w:tcPr>
          <w:p w:rsidR="00830048" w:rsidRDefault="00830048" w:rsidP="001168C7">
            <w:pPr>
              <w:rPr>
                <w:rFonts w:ascii="Arial" w:hAnsi="Arial" w:cs="Arial"/>
                <w:sz w:val="20"/>
                <w:szCs w:val="20"/>
              </w:rPr>
            </w:pPr>
            <w:r>
              <w:rPr>
                <w:rFonts w:ascii="Arial" w:hAnsi="Arial" w:cs="Arial"/>
                <w:sz w:val="20"/>
                <w:szCs w:val="20"/>
              </w:rPr>
              <w:t>Jeff Hauser (spring only)</w:t>
            </w:r>
          </w:p>
        </w:tc>
        <w:tc>
          <w:tcPr>
            <w:tcW w:w="2169" w:type="dxa"/>
          </w:tcPr>
          <w:p w:rsidR="00830048" w:rsidRPr="000F289F" w:rsidRDefault="00830048" w:rsidP="001069A1">
            <w:pPr>
              <w:jc w:val="center"/>
              <w:rPr>
                <w:rFonts w:ascii="Arial" w:hAnsi="Arial" w:cs="Arial"/>
                <w:sz w:val="20"/>
                <w:szCs w:val="20"/>
              </w:rPr>
            </w:pPr>
            <w:r>
              <w:rPr>
                <w:rFonts w:ascii="Arial" w:hAnsi="Arial" w:cs="Arial"/>
                <w:sz w:val="20"/>
                <w:szCs w:val="20"/>
              </w:rPr>
              <w:t>4</w:t>
            </w:r>
          </w:p>
        </w:tc>
        <w:tc>
          <w:tcPr>
            <w:tcW w:w="2169" w:type="dxa"/>
          </w:tcPr>
          <w:p w:rsidR="00830048" w:rsidRPr="000F289F" w:rsidRDefault="00830048" w:rsidP="001069A1">
            <w:pPr>
              <w:jc w:val="center"/>
              <w:rPr>
                <w:rFonts w:ascii="Arial" w:hAnsi="Arial" w:cs="Arial"/>
                <w:sz w:val="20"/>
                <w:szCs w:val="20"/>
              </w:rPr>
            </w:pPr>
            <w:r>
              <w:rPr>
                <w:rFonts w:ascii="Arial" w:hAnsi="Arial" w:cs="Arial"/>
                <w:sz w:val="20"/>
                <w:szCs w:val="20"/>
              </w:rPr>
              <w:t>1</w:t>
            </w:r>
          </w:p>
        </w:tc>
      </w:tr>
      <w:tr w:rsidR="001069A1" w:rsidTr="002E0B05">
        <w:tc>
          <w:tcPr>
            <w:tcW w:w="5238" w:type="dxa"/>
          </w:tcPr>
          <w:p w:rsidR="001069A1" w:rsidRPr="000F289F" w:rsidRDefault="00830048" w:rsidP="001168C7">
            <w:pPr>
              <w:rPr>
                <w:rFonts w:ascii="Arial" w:hAnsi="Arial" w:cs="Arial"/>
                <w:sz w:val="20"/>
                <w:szCs w:val="20"/>
              </w:rPr>
            </w:pPr>
            <w:r>
              <w:rPr>
                <w:rFonts w:ascii="Arial" w:hAnsi="Arial" w:cs="Arial"/>
                <w:sz w:val="20"/>
                <w:szCs w:val="20"/>
              </w:rPr>
              <w:t>Alma Anderson</w:t>
            </w:r>
            <w:r w:rsidR="001069A1" w:rsidRPr="000F289F">
              <w:rPr>
                <w:rFonts w:ascii="Arial" w:hAnsi="Arial" w:cs="Arial"/>
                <w:sz w:val="20"/>
                <w:szCs w:val="20"/>
              </w:rPr>
              <w:t xml:space="preserve"> (Exec Committee </w:t>
            </w:r>
            <w:proofErr w:type="spellStart"/>
            <w:r w:rsidR="001069A1" w:rsidRPr="000F289F">
              <w:rPr>
                <w:rFonts w:ascii="Arial" w:hAnsi="Arial" w:cs="Arial"/>
                <w:sz w:val="20"/>
                <w:szCs w:val="20"/>
              </w:rPr>
              <w:t>Liason</w:t>
            </w:r>
            <w:proofErr w:type="spellEnd"/>
            <w:r w:rsidR="001069A1" w:rsidRPr="000F289F">
              <w:rPr>
                <w:rFonts w:ascii="Arial" w:hAnsi="Arial" w:cs="Arial"/>
                <w:sz w:val="20"/>
                <w:szCs w:val="20"/>
              </w:rPr>
              <w:t>)</w:t>
            </w:r>
          </w:p>
        </w:tc>
        <w:tc>
          <w:tcPr>
            <w:tcW w:w="2169" w:type="dxa"/>
            <w:vAlign w:val="center"/>
          </w:tcPr>
          <w:p w:rsidR="001069A1" w:rsidRPr="000F289F" w:rsidRDefault="00830048" w:rsidP="001069A1">
            <w:pPr>
              <w:jc w:val="center"/>
              <w:rPr>
                <w:rFonts w:ascii="Arial" w:hAnsi="Arial" w:cs="Arial"/>
                <w:sz w:val="20"/>
                <w:szCs w:val="20"/>
              </w:rPr>
            </w:pPr>
            <w:r>
              <w:rPr>
                <w:rFonts w:ascii="Arial" w:hAnsi="Arial" w:cs="Arial"/>
                <w:sz w:val="20"/>
                <w:szCs w:val="20"/>
              </w:rPr>
              <w:t>8</w:t>
            </w:r>
          </w:p>
        </w:tc>
        <w:tc>
          <w:tcPr>
            <w:tcW w:w="2169" w:type="dxa"/>
            <w:vAlign w:val="center"/>
          </w:tcPr>
          <w:p w:rsidR="001069A1" w:rsidRPr="000F289F" w:rsidRDefault="00830048" w:rsidP="001069A1">
            <w:pPr>
              <w:jc w:val="center"/>
              <w:rPr>
                <w:rFonts w:ascii="Arial" w:hAnsi="Arial" w:cs="Arial"/>
                <w:sz w:val="20"/>
                <w:szCs w:val="20"/>
              </w:rPr>
            </w:pPr>
            <w:r>
              <w:rPr>
                <w:rFonts w:ascii="Arial" w:hAnsi="Arial" w:cs="Arial"/>
                <w:sz w:val="20"/>
                <w:szCs w:val="20"/>
              </w:rPr>
              <w:t>2</w:t>
            </w:r>
          </w:p>
        </w:tc>
      </w:tr>
      <w:tr w:rsidR="002E0B05" w:rsidTr="002E0B05">
        <w:tc>
          <w:tcPr>
            <w:tcW w:w="5238" w:type="dxa"/>
          </w:tcPr>
          <w:p w:rsidR="002E0B05" w:rsidRPr="002E0B05" w:rsidRDefault="002E0B05" w:rsidP="002E0B05">
            <w:pPr>
              <w:jc w:val="center"/>
              <w:rPr>
                <w:rFonts w:ascii="Arial" w:hAnsi="Arial" w:cs="Arial"/>
                <w:b/>
                <w:sz w:val="20"/>
                <w:szCs w:val="20"/>
              </w:rPr>
            </w:pPr>
            <w:r w:rsidRPr="002E0B05">
              <w:rPr>
                <w:rFonts w:ascii="Arial" w:hAnsi="Arial" w:cs="Arial"/>
                <w:b/>
                <w:sz w:val="20"/>
                <w:szCs w:val="20"/>
              </w:rPr>
              <w:t>Ex-Officio</w:t>
            </w:r>
          </w:p>
        </w:tc>
        <w:tc>
          <w:tcPr>
            <w:tcW w:w="2169" w:type="dxa"/>
          </w:tcPr>
          <w:p w:rsidR="002E0B05" w:rsidRPr="000F289F" w:rsidRDefault="002E0B05" w:rsidP="00080D4E">
            <w:pPr>
              <w:jc w:val="center"/>
              <w:rPr>
                <w:rFonts w:ascii="Arial" w:hAnsi="Arial" w:cs="Arial"/>
                <w:b/>
                <w:sz w:val="20"/>
                <w:szCs w:val="20"/>
              </w:rPr>
            </w:pPr>
            <w:r w:rsidRPr="000F289F">
              <w:rPr>
                <w:rFonts w:ascii="Arial" w:hAnsi="Arial" w:cs="Arial"/>
                <w:b/>
                <w:sz w:val="20"/>
                <w:szCs w:val="20"/>
              </w:rPr>
              <w:t>Meetings to Attend</w:t>
            </w:r>
          </w:p>
        </w:tc>
        <w:tc>
          <w:tcPr>
            <w:tcW w:w="2169" w:type="dxa"/>
          </w:tcPr>
          <w:p w:rsidR="002E0B05" w:rsidRPr="000F289F" w:rsidRDefault="002E0B05" w:rsidP="00080D4E">
            <w:pPr>
              <w:jc w:val="center"/>
              <w:rPr>
                <w:rFonts w:ascii="Arial" w:hAnsi="Arial" w:cs="Arial"/>
                <w:b/>
                <w:sz w:val="20"/>
                <w:szCs w:val="20"/>
              </w:rPr>
            </w:pPr>
            <w:r w:rsidRPr="000F289F">
              <w:rPr>
                <w:rFonts w:ascii="Arial" w:hAnsi="Arial" w:cs="Arial"/>
                <w:b/>
                <w:sz w:val="20"/>
                <w:szCs w:val="20"/>
              </w:rPr>
              <w:t>Meetings Attended</w:t>
            </w:r>
          </w:p>
        </w:tc>
      </w:tr>
      <w:tr w:rsidR="002E0B05" w:rsidTr="002E0B05">
        <w:tc>
          <w:tcPr>
            <w:tcW w:w="5238" w:type="dxa"/>
          </w:tcPr>
          <w:p w:rsidR="002E0B05" w:rsidRDefault="00287343" w:rsidP="00287343">
            <w:pPr>
              <w:rPr>
                <w:rFonts w:ascii="Arial" w:hAnsi="Arial" w:cs="Arial"/>
                <w:sz w:val="20"/>
                <w:szCs w:val="20"/>
              </w:rPr>
            </w:pPr>
            <w:r>
              <w:rPr>
                <w:rFonts w:ascii="Arial" w:hAnsi="Arial" w:cs="Arial"/>
                <w:sz w:val="20"/>
                <w:szCs w:val="20"/>
              </w:rPr>
              <w:t>Academic Affairs</w:t>
            </w:r>
            <w:r w:rsidR="002E0B05">
              <w:rPr>
                <w:rFonts w:ascii="Arial" w:hAnsi="Arial" w:cs="Arial"/>
                <w:sz w:val="20"/>
                <w:szCs w:val="20"/>
              </w:rPr>
              <w:t>: Josh Powers</w:t>
            </w:r>
            <w:r>
              <w:rPr>
                <w:rFonts w:ascii="Arial" w:hAnsi="Arial" w:cs="Arial"/>
                <w:sz w:val="20"/>
                <w:szCs w:val="20"/>
              </w:rPr>
              <w:t>/Susan Powers</w:t>
            </w:r>
          </w:p>
        </w:tc>
        <w:tc>
          <w:tcPr>
            <w:tcW w:w="2169" w:type="dxa"/>
            <w:vAlign w:val="center"/>
          </w:tcPr>
          <w:p w:rsidR="002E0B05" w:rsidRDefault="002E0B05" w:rsidP="001069A1">
            <w:pPr>
              <w:jc w:val="center"/>
              <w:rPr>
                <w:rFonts w:ascii="Arial" w:hAnsi="Arial" w:cs="Arial"/>
                <w:sz w:val="20"/>
                <w:szCs w:val="20"/>
              </w:rPr>
            </w:pPr>
            <w:r>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5</w:t>
            </w:r>
          </w:p>
        </w:tc>
      </w:tr>
      <w:tr w:rsidR="002E0B05" w:rsidTr="00A02AE0">
        <w:tc>
          <w:tcPr>
            <w:tcW w:w="5238" w:type="dxa"/>
          </w:tcPr>
          <w:p w:rsidR="002E0B05" w:rsidRDefault="002E0B05" w:rsidP="001168C7">
            <w:pPr>
              <w:rPr>
                <w:rFonts w:ascii="Arial" w:hAnsi="Arial" w:cs="Arial"/>
                <w:sz w:val="20"/>
                <w:szCs w:val="20"/>
              </w:rPr>
            </w:pPr>
            <w:r w:rsidRPr="00D12D9C">
              <w:rPr>
                <w:rFonts w:ascii="Arial" w:hAnsi="Arial" w:cs="Arial"/>
                <w:sz w:val="20"/>
                <w:szCs w:val="20"/>
              </w:rPr>
              <w:t>Student Activities and Organizations</w:t>
            </w:r>
            <w:r w:rsidR="0057733E">
              <w:rPr>
                <w:rFonts w:ascii="Arial" w:hAnsi="Arial" w:cs="Arial"/>
                <w:sz w:val="20"/>
                <w:szCs w:val="20"/>
              </w:rPr>
              <w:t>: Kimberly Monte</w:t>
            </w:r>
          </w:p>
        </w:tc>
        <w:tc>
          <w:tcPr>
            <w:tcW w:w="2169" w:type="dxa"/>
          </w:tcPr>
          <w:p w:rsidR="002E0B05" w:rsidRDefault="002E0B05" w:rsidP="002E0B05">
            <w:pPr>
              <w:jc w:val="center"/>
            </w:pPr>
            <w:r w:rsidRPr="00803B1E">
              <w:rPr>
                <w:rFonts w:ascii="Arial" w:hAnsi="Arial" w:cs="Arial"/>
                <w:sz w:val="20"/>
                <w:szCs w:val="20"/>
              </w:rPr>
              <w:t>8</w:t>
            </w:r>
          </w:p>
        </w:tc>
        <w:tc>
          <w:tcPr>
            <w:tcW w:w="2169" w:type="dxa"/>
            <w:vAlign w:val="center"/>
          </w:tcPr>
          <w:p w:rsidR="002E0B05" w:rsidRDefault="0057733E" w:rsidP="001069A1">
            <w:pPr>
              <w:jc w:val="center"/>
              <w:rPr>
                <w:rFonts w:ascii="Arial" w:hAnsi="Arial" w:cs="Arial"/>
                <w:sz w:val="20"/>
                <w:szCs w:val="20"/>
              </w:rPr>
            </w:pPr>
            <w:r>
              <w:rPr>
                <w:rFonts w:ascii="Arial" w:hAnsi="Arial" w:cs="Arial"/>
                <w:sz w:val="20"/>
                <w:szCs w:val="20"/>
              </w:rPr>
              <w:t>3</w:t>
            </w:r>
          </w:p>
        </w:tc>
      </w:tr>
      <w:tr w:rsidR="002E0B05" w:rsidTr="00A02AE0">
        <w:tc>
          <w:tcPr>
            <w:tcW w:w="5238" w:type="dxa"/>
          </w:tcPr>
          <w:p w:rsidR="002E0B05" w:rsidRDefault="002E0B05" w:rsidP="001168C7">
            <w:pPr>
              <w:rPr>
                <w:rFonts w:ascii="Arial" w:hAnsi="Arial" w:cs="Arial"/>
                <w:sz w:val="20"/>
                <w:szCs w:val="20"/>
              </w:rPr>
            </w:pPr>
            <w:r w:rsidRPr="00D12D9C">
              <w:rPr>
                <w:rFonts w:ascii="Arial" w:hAnsi="Arial" w:cs="Arial"/>
                <w:sz w:val="20"/>
                <w:szCs w:val="20"/>
              </w:rPr>
              <w:t>Residential Life</w:t>
            </w:r>
            <w:r>
              <w:rPr>
                <w:rFonts w:ascii="Arial" w:hAnsi="Arial" w:cs="Arial"/>
                <w:sz w:val="20"/>
                <w:szCs w:val="20"/>
              </w:rPr>
              <w:t>: Josh Powers</w:t>
            </w:r>
          </w:p>
        </w:tc>
        <w:tc>
          <w:tcPr>
            <w:tcW w:w="2169" w:type="dxa"/>
          </w:tcPr>
          <w:p w:rsidR="002E0B05" w:rsidRDefault="002E0B05" w:rsidP="002E0B05">
            <w:pPr>
              <w:jc w:val="center"/>
            </w:pPr>
            <w:r w:rsidRPr="00803B1E">
              <w:rPr>
                <w:rFonts w:ascii="Arial" w:hAnsi="Arial" w:cs="Arial"/>
                <w:sz w:val="20"/>
                <w:szCs w:val="20"/>
              </w:rPr>
              <w:t>8</w:t>
            </w:r>
          </w:p>
        </w:tc>
        <w:tc>
          <w:tcPr>
            <w:tcW w:w="2169" w:type="dxa"/>
            <w:vAlign w:val="center"/>
          </w:tcPr>
          <w:p w:rsidR="002E0B05" w:rsidRDefault="002E0B05" w:rsidP="001069A1">
            <w:pPr>
              <w:jc w:val="center"/>
              <w:rPr>
                <w:rFonts w:ascii="Arial" w:hAnsi="Arial" w:cs="Arial"/>
                <w:sz w:val="20"/>
                <w:szCs w:val="20"/>
              </w:rPr>
            </w:pPr>
            <w:r>
              <w:rPr>
                <w:rFonts w:ascii="Arial" w:hAnsi="Arial" w:cs="Arial"/>
                <w:sz w:val="20"/>
                <w:szCs w:val="20"/>
              </w:rPr>
              <w:t>4</w:t>
            </w:r>
          </w:p>
        </w:tc>
      </w:tr>
      <w:tr w:rsidR="002E0B05" w:rsidTr="00A02AE0">
        <w:tc>
          <w:tcPr>
            <w:tcW w:w="5238" w:type="dxa"/>
          </w:tcPr>
          <w:p w:rsidR="002E0B05" w:rsidRDefault="002E0B05" w:rsidP="001168C7">
            <w:pPr>
              <w:rPr>
                <w:rFonts w:ascii="Arial" w:hAnsi="Arial" w:cs="Arial"/>
                <w:sz w:val="20"/>
                <w:szCs w:val="20"/>
              </w:rPr>
            </w:pPr>
            <w:r w:rsidRPr="00D12D9C">
              <w:rPr>
                <w:rFonts w:ascii="Arial" w:hAnsi="Arial" w:cs="Arial"/>
                <w:sz w:val="20"/>
                <w:szCs w:val="20"/>
              </w:rPr>
              <w:t>HMSU</w:t>
            </w:r>
            <w:r w:rsidR="0057733E">
              <w:rPr>
                <w:rFonts w:ascii="Arial" w:hAnsi="Arial" w:cs="Arial"/>
                <w:sz w:val="20"/>
                <w:szCs w:val="20"/>
              </w:rPr>
              <w:t>: Anita Gabbard (left ISU 4/1/2013)</w:t>
            </w:r>
          </w:p>
        </w:tc>
        <w:tc>
          <w:tcPr>
            <w:tcW w:w="2169" w:type="dxa"/>
          </w:tcPr>
          <w:p w:rsidR="002E0B05" w:rsidRDefault="0057733E" w:rsidP="002E0B05">
            <w:pPr>
              <w:jc w:val="center"/>
            </w:pPr>
            <w:r>
              <w:rPr>
                <w:rFonts w:ascii="Arial" w:hAnsi="Arial" w:cs="Arial"/>
                <w:sz w:val="20"/>
                <w:szCs w:val="20"/>
              </w:rPr>
              <w:t>7</w:t>
            </w:r>
          </w:p>
        </w:tc>
        <w:tc>
          <w:tcPr>
            <w:tcW w:w="2169" w:type="dxa"/>
            <w:vAlign w:val="center"/>
          </w:tcPr>
          <w:p w:rsidR="002E0B05" w:rsidRDefault="0057733E" w:rsidP="001069A1">
            <w:pPr>
              <w:jc w:val="center"/>
              <w:rPr>
                <w:rFonts w:ascii="Arial" w:hAnsi="Arial" w:cs="Arial"/>
                <w:sz w:val="20"/>
                <w:szCs w:val="20"/>
              </w:rPr>
            </w:pPr>
            <w:r>
              <w:rPr>
                <w:rFonts w:ascii="Arial" w:hAnsi="Arial" w:cs="Arial"/>
                <w:sz w:val="20"/>
                <w:szCs w:val="20"/>
              </w:rPr>
              <w:t>0</w:t>
            </w:r>
          </w:p>
        </w:tc>
      </w:tr>
      <w:tr w:rsidR="002E0B05" w:rsidTr="00A02AE0">
        <w:tc>
          <w:tcPr>
            <w:tcW w:w="5238" w:type="dxa"/>
          </w:tcPr>
          <w:p w:rsidR="002E0B05" w:rsidRDefault="002E0B05" w:rsidP="001168C7">
            <w:pPr>
              <w:rPr>
                <w:rFonts w:ascii="Arial" w:hAnsi="Arial" w:cs="Arial"/>
                <w:sz w:val="20"/>
                <w:szCs w:val="20"/>
              </w:rPr>
            </w:pPr>
            <w:r w:rsidRPr="00D12D9C">
              <w:rPr>
                <w:rFonts w:ascii="Arial" w:hAnsi="Arial" w:cs="Arial"/>
                <w:sz w:val="20"/>
                <w:szCs w:val="20"/>
              </w:rPr>
              <w:t>Athletics</w:t>
            </w:r>
            <w:r w:rsidR="00287343">
              <w:rPr>
                <w:rFonts w:ascii="Arial" w:hAnsi="Arial" w:cs="Arial"/>
                <w:sz w:val="20"/>
                <w:szCs w:val="20"/>
              </w:rPr>
              <w:t>: Joel McMullen/Marlon Dechausay</w:t>
            </w:r>
          </w:p>
        </w:tc>
        <w:tc>
          <w:tcPr>
            <w:tcW w:w="2169" w:type="dxa"/>
          </w:tcPr>
          <w:p w:rsidR="002E0B05" w:rsidRDefault="002E0B05" w:rsidP="002E0B05">
            <w:pPr>
              <w:jc w:val="center"/>
            </w:pPr>
            <w:r w:rsidRPr="00803B1E">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2</w:t>
            </w:r>
          </w:p>
        </w:tc>
      </w:tr>
      <w:tr w:rsidR="002E0B05" w:rsidTr="00A02AE0">
        <w:tc>
          <w:tcPr>
            <w:tcW w:w="5238" w:type="dxa"/>
          </w:tcPr>
          <w:p w:rsidR="002E0B05" w:rsidRDefault="002E0B05" w:rsidP="001168C7">
            <w:pPr>
              <w:rPr>
                <w:rFonts w:ascii="Arial" w:hAnsi="Arial" w:cs="Arial"/>
                <w:sz w:val="20"/>
                <w:szCs w:val="20"/>
              </w:rPr>
            </w:pPr>
            <w:r w:rsidRPr="00D12D9C">
              <w:rPr>
                <w:rFonts w:ascii="Arial" w:hAnsi="Arial" w:cs="Arial"/>
                <w:sz w:val="20"/>
                <w:szCs w:val="20"/>
              </w:rPr>
              <w:t>Registrar</w:t>
            </w:r>
            <w:r>
              <w:rPr>
                <w:rFonts w:ascii="Arial" w:hAnsi="Arial" w:cs="Arial"/>
                <w:sz w:val="20"/>
                <w:szCs w:val="20"/>
              </w:rPr>
              <w:t>: Brian Coldren/Jennifer Lawson</w:t>
            </w:r>
          </w:p>
        </w:tc>
        <w:tc>
          <w:tcPr>
            <w:tcW w:w="2169" w:type="dxa"/>
          </w:tcPr>
          <w:p w:rsidR="002E0B05" w:rsidRDefault="002E0B05" w:rsidP="002E0B05">
            <w:pPr>
              <w:jc w:val="center"/>
            </w:pPr>
            <w:r w:rsidRPr="00803B1E">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8</w:t>
            </w:r>
          </w:p>
        </w:tc>
      </w:tr>
      <w:tr w:rsidR="002E0B05" w:rsidTr="00A02AE0">
        <w:tc>
          <w:tcPr>
            <w:tcW w:w="5238" w:type="dxa"/>
          </w:tcPr>
          <w:p w:rsidR="002E0B05" w:rsidRDefault="002E0B05" w:rsidP="001168C7">
            <w:pPr>
              <w:rPr>
                <w:rFonts w:ascii="Arial" w:hAnsi="Arial" w:cs="Arial"/>
                <w:sz w:val="20"/>
                <w:szCs w:val="20"/>
              </w:rPr>
            </w:pPr>
            <w:r w:rsidRPr="00D12D9C">
              <w:rPr>
                <w:rFonts w:ascii="Arial" w:hAnsi="Arial" w:cs="Arial"/>
                <w:sz w:val="20"/>
                <w:szCs w:val="20"/>
              </w:rPr>
              <w:t>Admissions: Richard Toomey</w:t>
            </w:r>
          </w:p>
        </w:tc>
        <w:tc>
          <w:tcPr>
            <w:tcW w:w="2169" w:type="dxa"/>
          </w:tcPr>
          <w:p w:rsidR="002E0B05" w:rsidRDefault="002E0B05" w:rsidP="002E0B05">
            <w:pPr>
              <w:jc w:val="center"/>
            </w:pPr>
            <w:r w:rsidRPr="00803B1E">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6</w:t>
            </w:r>
          </w:p>
        </w:tc>
      </w:tr>
      <w:tr w:rsidR="002E0B05" w:rsidTr="00A02AE0">
        <w:tc>
          <w:tcPr>
            <w:tcW w:w="5238" w:type="dxa"/>
          </w:tcPr>
          <w:p w:rsidR="002E0B05" w:rsidRDefault="002E0B05" w:rsidP="001168C7">
            <w:pPr>
              <w:rPr>
                <w:rFonts w:ascii="Arial" w:hAnsi="Arial" w:cs="Arial"/>
                <w:sz w:val="20"/>
                <w:szCs w:val="20"/>
              </w:rPr>
            </w:pPr>
            <w:r w:rsidRPr="00D12D9C">
              <w:rPr>
                <w:rFonts w:ascii="Arial" w:hAnsi="Arial" w:cs="Arial"/>
                <w:sz w:val="20"/>
                <w:szCs w:val="20"/>
              </w:rPr>
              <w:t>Financial Aid</w:t>
            </w:r>
            <w:r w:rsidR="00287343">
              <w:rPr>
                <w:rFonts w:ascii="Arial" w:hAnsi="Arial" w:cs="Arial"/>
                <w:sz w:val="20"/>
                <w:szCs w:val="20"/>
              </w:rPr>
              <w:t>: Richard Toomey</w:t>
            </w:r>
          </w:p>
        </w:tc>
        <w:tc>
          <w:tcPr>
            <w:tcW w:w="2169" w:type="dxa"/>
          </w:tcPr>
          <w:p w:rsidR="002E0B05" w:rsidRDefault="002E0B05" w:rsidP="002E0B05">
            <w:pPr>
              <w:jc w:val="center"/>
            </w:pPr>
            <w:r w:rsidRPr="00803B1E">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6</w:t>
            </w:r>
          </w:p>
        </w:tc>
      </w:tr>
      <w:tr w:rsidR="002E0B05" w:rsidTr="00A02AE0">
        <w:tc>
          <w:tcPr>
            <w:tcW w:w="5238" w:type="dxa"/>
          </w:tcPr>
          <w:p w:rsidR="002E0B05" w:rsidRPr="00D12D9C" w:rsidRDefault="002E0B05" w:rsidP="001168C7">
            <w:pPr>
              <w:rPr>
                <w:rFonts w:ascii="Arial" w:hAnsi="Arial" w:cs="Arial"/>
                <w:sz w:val="20"/>
                <w:szCs w:val="20"/>
              </w:rPr>
            </w:pPr>
            <w:r w:rsidRPr="00D12D9C">
              <w:rPr>
                <w:rFonts w:ascii="Arial" w:hAnsi="Arial" w:cs="Arial"/>
                <w:sz w:val="20"/>
                <w:szCs w:val="20"/>
              </w:rPr>
              <w:t>Student Academic Services</w:t>
            </w:r>
            <w:r w:rsidR="00287343">
              <w:rPr>
                <w:rFonts w:ascii="Arial" w:hAnsi="Arial" w:cs="Arial"/>
                <w:sz w:val="20"/>
                <w:szCs w:val="20"/>
              </w:rPr>
              <w:t>: David Wright</w:t>
            </w:r>
          </w:p>
        </w:tc>
        <w:tc>
          <w:tcPr>
            <w:tcW w:w="2169" w:type="dxa"/>
          </w:tcPr>
          <w:p w:rsidR="002E0B05" w:rsidRDefault="002E0B05" w:rsidP="002E0B05">
            <w:pPr>
              <w:jc w:val="center"/>
            </w:pPr>
            <w:r w:rsidRPr="00803B1E">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4</w:t>
            </w:r>
          </w:p>
        </w:tc>
      </w:tr>
      <w:tr w:rsidR="002E0B05" w:rsidTr="003C0AE7">
        <w:tc>
          <w:tcPr>
            <w:tcW w:w="5238" w:type="dxa"/>
          </w:tcPr>
          <w:p w:rsidR="002E0B05" w:rsidRPr="002E0B05" w:rsidRDefault="002E0B05" w:rsidP="00080D4E">
            <w:pPr>
              <w:jc w:val="center"/>
              <w:rPr>
                <w:rFonts w:ascii="Arial" w:hAnsi="Arial" w:cs="Arial"/>
                <w:b/>
                <w:sz w:val="20"/>
                <w:szCs w:val="20"/>
              </w:rPr>
            </w:pPr>
            <w:r>
              <w:rPr>
                <w:rFonts w:ascii="Arial" w:hAnsi="Arial" w:cs="Arial"/>
                <w:b/>
                <w:sz w:val="20"/>
                <w:szCs w:val="20"/>
              </w:rPr>
              <w:t>Student</w:t>
            </w:r>
          </w:p>
        </w:tc>
        <w:tc>
          <w:tcPr>
            <w:tcW w:w="2169" w:type="dxa"/>
          </w:tcPr>
          <w:p w:rsidR="002E0B05" w:rsidRPr="000F289F" w:rsidRDefault="002E0B05" w:rsidP="00080D4E">
            <w:pPr>
              <w:jc w:val="center"/>
              <w:rPr>
                <w:rFonts w:ascii="Arial" w:hAnsi="Arial" w:cs="Arial"/>
                <w:b/>
                <w:sz w:val="20"/>
                <w:szCs w:val="20"/>
              </w:rPr>
            </w:pPr>
            <w:r w:rsidRPr="000F289F">
              <w:rPr>
                <w:rFonts w:ascii="Arial" w:hAnsi="Arial" w:cs="Arial"/>
                <w:b/>
                <w:sz w:val="20"/>
                <w:szCs w:val="20"/>
              </w:rPr>
              <w:t>Meetings to Attend</w:t>
            </w:r>
          </w:p>
        </w:tc>
        <w:tc>
          <w:tcPr>
            <w:tcW w:w="2169" w:type="dxa"/>
          </w:tcPr>
          <w:p w:rsidR="002E0B05" w:rsidRPr="000F289F" w:rsidRDefault="002E0B05" w:rsidP="00080D4E">
            <w:pPr>
              <w:jc w:val="center"/>
              <w:rPr>
                <w:rFonts w:ascii="Arial" w:hAnsi="Arial" w:cs="Arial"/>
                <w:b/>
                <w:sz w:val="20"/>
                <w:szCs w:val="20"/>
              </w:rPr>
            </w:pPr>
            <w:r w:rsidRPr="000F289F">
              <w:rPr>
                <w:rFonts w:ascii="Arial" w:hAnsi="Arial" w:cs="Arial"/>
                <w:b/>
                <w:sz w:val="20"/>
                <w:szCs w:val="20"/>
              </w:rPr>
              <w:t>Meetings Attended</w:t>
            </w:r>
          </w:p>
        </w:tc>
      </w:tr>
      <w:tr w:rsidR="002E0B05" w:rsidTr="007578C1">
        <w:tc>
          <w:tcPr>
            <w:tcW w:w="5238" w:type="dxa"/>
          </w:tcPr>
          <w:p w:rsidR="002E0B05" w:rsidRPr="00D12D9C" w:rsidRDefault="00287343" w:rsidP="001168C7">
            <w:pPr>
              <w:rPr>
                <w:rFonts w:ascii="Arial" w:hAnsi="Arial" w:cs="Arial"/>
                <w:sz w:val="20"/>
                <w:szCs w:val="20"/>
              </w:rPr>
            </w:pPr>
            <w:r>
              <w:rPr>
                <w:rFonts w:ascii="Arial" w:hAnsi="Arial" w:cs="Arial"/>
                <w:sz w:val="20"/>
                <w:szCs w:val="20"/>
              </w:rPr>
              <w:t>Brandon Harris</w:t>
            </w:r>
          </w:p>
        </w:tc>
        <w:tc>
          <w:tcPr>
            <w:tcW w:w="2169" w:type="dxa"/>
          </w:tcPr>
          <w:p w:rsidR="002E0B05" w:rsidRDefault="002E0B05" w:rsidP="002E0B05">
            <w:pPr>
              <w:jc w:val="center"/>
            </w:pPr>
            <w:r w:rsidRPr="00AD1FD5">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2</w:t>
            </w:r>
          </w:p>
        </w:tc>
      </w:tr>
      <w:tr w:rsidR="002E0B05" w:rsidTr="007578C1">
        <w:tc>
          <w:tcPr>
            <w:tcW w:w="5238" w:type="dxa"/>
          </w:tcPr>
          <w:p w:rsidR="002E0B05" w:rsidRPr="00D12D9C" w:rsidRDefault="00287343" w:rsidP="001168C7">
            <w:pPr>
              <w:rPr>
                <w:rFonts w:ascii="Arial" w:hAnsi="Arial" w:cs="Arial"/>
                <w:sz w:val="20"/>
                <w:szCs w:val="20"/>
              </w:rPr>
            </w:pPr>
            <w:r>
              <w:rPr>
                <w:rFonts w:ascii="Arial" w:hAnsi="Arial" w:cs="Arial"/>
                <w:sz w:val="20"/>
                <w:szCs w:val="20"/>
              </w:rPr>
              <w:t>Rachel Leshinsky</w:t>
            </w:r>
          </w:p>
        </w:tc>
        <w:tc>
          <w:tcPr>
            <w:tcW w:w="2169" w:type="dxa"/>
          </w:tcPr>
          <w:p w:rsidR="002E0B05" w:rsidRDefault="002E0B05" w:rsidP="002E0B05">
            <w:pPr>
              <w:jc w:val="center"/>
            </w:pPr>
            <w:r w:rsidRPr="00AD1FD5">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3</w:t>
            </w:r>
          </w:p>
        </w:tc>
      </w:tr>
      <w:tr w:rsidR="002E0B05" w:rsidTr="007578C1">
        <w:tc>
          <w:tcPr>
            <w:tcW w:w="5238" w:type="dxa"/>
          </w:tcPr>
          <w:p w:rsidR="002E0B05" w:rsidRPr="00D12D9C" w:rsidRDefault="00287343" w:rsidP="001168C7">
            <w:pPr>
              <w:rPr>
                <w:rFonts w:ascii="Arial" w:hAnsi="Arial" w:cs="Arial"/>
                <w:sz w:val="20"/>
                <w:szCs w:val="20"/>
              </w:rPr>
            </w:pPr>
            <w:r>
              <w:rPr>
                <w:rFonts w:ascii="Arial" w:hAnsi="Arial" w:cs="Arial"/>
                <w:sz w:val="20"/>
                <w:szCs w:val="20"/>
              </w:rPr>
              <w:t>William Matt Copas</w:t>
            </w:r>
          </w:p>
        </w:tc>
        <w:tc>
          <w:tcPr>
            <w:tcW w:w="2169" w:type="dxa"/>
          </w:tcPr>
          <w:p w:rsidR="002E0B05" w:rsidRDefault="002E0B05" w:rsidP="002E0B05">
            <w:pPr>
              <w:jc w:val="center"/>
            </w:pPr>
            <w:r w:rsidRPr="00AD1FD5">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2</w:t>
            </w:r>
          </w:p>
        </w:tc>
      </w:tr>
      <w:tr w:rsidR="002E0B05" w:rsidTr="007578C1">
        <w:tc>
          <w:tcPr>
            <w:tcW w:w="5238" w:type="dxa"/>
          </w:tcPr>
          <w:p w:rsidR="002E0B05" w:rsidRPr="00D12D9C" w:rsidRDefault="00287343" w:rsidP="001168C7">
            <w:pPr>
              <w:rPr>
                <w:rFonts w:ascii="Arial" w:hAnsi="Arial" w:cs="Arial"/>
                <w:sz w:val="20"/>
                <w:szCs w:val="20"/>
              </w:rPr>
            </w:pPr>
            <w:r>
              <w:rPr>
                <w:rFonts w:ascii="Arial" w:hAnsi="Arial" w:cs="Arial"/>
                <w:sz w:val="20"/>
                <w:szCs w:val="20"/>
              </w:rPr>
              <w:t>Jacoby Waldron</w:t>
            </w:r>
          </w:p>
        </w:tc>
        <w:tc>
          <w:tcPr>
            <w:tcW w:w="2169" w:type="dxa"/>
          </w:tcPr>
          <w:p w:rsidR="002E0B05" w:rsidRDefault="002E0B05" w:rsidP="002E0B05">
            <w:pPr>
              <w:jc w:val="center"/>
            </w:pPr>
            <w:r w:rsidRPr="00AD1FD5">
              <w:rPr>
                <w:rFonts w:ascii="Arial" w:hAnsi="Arial" w:cs="Arial"/>
                <w:sz w:val="20"/>
                <w:szCs w:val="20"/>
              </w:rPr>
              <w:t>8</w:t>
            </w:r>
          </w:p>
        </w:tc>
        <w:tc>
          <w:tcPr>
            <w:tcW w:w="2169" w:type="dxa"/>
            <w:vAlign w:val="center"/>
          </w:tcPr>
          <w:p w:rsidR="002E0B05" w:rsidRDefault="00287343" w:rsidP="001069A1">
            <w:pPr>
              <w:jc w:val="center"/>
              <w:rPr>
                <w:rFonts w:ascii="Arial" w:hAnsi="Arial" w:cs="Arial"/>
                <w:sz w:val="20"/>
                <w:szCs w:val="20"/>
              </w:rPr>
            </w:pPr>
            <w:r>
              <w:rPr>
                <w:rFonts w:ascii="Arial" w:hAnsi="Arial" w:cs="Arial"/>
                <w:sz w:val="20"/>
                <w:szCs w:val="20"/>
              </w:rPr>
              <w:t>5</w:t>
            </w:r>
          </w:p>
        </w:tc>
      </w:tr>
    </w:tbl>
    <w:p w:rsidR="004B779A" w:rsidRPr="000407A0" w:rsidRDefault="004B779A" w:rsidP="001168C7"/>
    <w:p w:rsidR="009D19F5" w:rsidRDefault="009D19F5" w:rsidP="001069A1">
      <w:pPr>
        <w:shd w:val="clear" w:color="auto" w:fill="FFFFFF"/>
        <w:outlineLvl w:val="1"/>
      </w:pPr>
      <w:r w:rsidRPr="00D12D9C">
        <w:rPr>
          <w:rFonts w:ascii="Arial" w:hAnsi="Arial" w:cs="Arial"/>
          <w:b/>
          <w:sz w:val="20"/>
          <w:szCs w:val="20"/>
        </w:rPr>
        <w:t>On-going charges</w:t>
      </w:r>
      <w:r w:rsidR="007A235F" w:rsidRPr="00D12D9C">
        <w:rPr>
          <w:rFonts w:ascii="Arial" w:hAnsi="Arial" w:cs="Arial"/>
          <w:b/>
          <w:sz w:val="20"/>
          <w:szCs w:val="20"/>
        </w:rPr>
        <w:t xml:space="preserve"> for 201</w:t>
      </w:r>
      <w:r w:rsidR="00830048">
        <w:rPr>
          <w:rFonts w:ascii="Arial" w:hAnsi="Arial" w:cs="Arial"/>
          <w:b/>
          <w:sz w:val="20"/>
          <w:szCs w:val="20"/>
        </w:rPr>
        <w:t>3</w:t>
      </w:r>
      <w:r w:rsidR="007A235F" w:rsidRPr="00D12D9C">
        <w:rPr>
          <w:rFonts w:ascii="Arial" w:hAnsi="Arial" w:cs="Arial"/>
          <w:b/>
          <w:sz w:val="20"/>
          <w:szCs w:val="20"/>
        </w:rPr>
        <w:t>-201</w:t>
      </w:r>
      <w:r w:rsidR="00830048">
        <w:rPr>
          <w:rFonts w:ascii="Arial" w:hAnsi="Arial" w:cs="Arial"/>
          <w:b/>
          <w:sz w:val="20"/>
          <w:szCs w:val="20"/>
        </w:rPr>
        <w:t>4</w:t>
      </w:r>
      <w:r>
        <w:t>.</w:t>
      </w:r>
    </w:p>
    <w:p w:rsidR="009D19F5" w:rsidRDefault="009D19F5" w:rsidP="001069A1">
      <w:pPr>
        <w:shd w:val="clear" w:color="auto" w:fill="FFFFFF"/>
        <w:outlineLvl w:val="1"/>
      </w:pPr>
    </w:p>
    <w:p w:rsidR="009D19F5" w:rsidRDefault="009D19F5" w:rsidP="001069A1">
      <w:pPr>
        <w:shd w:val="clear" w:color="auto" w:fill="FFFFFF"/>
        <w:outlineLvl w:val="1"/>
      </w:pPr>
      <w:r>
        <w:t>SAC recommends the following charges be carried over to 201</w:t>
      </w:r>
      <w:r w:rsidR="00830048">
        <w:t>3</w:t>
      </w:r>
      <w:r>
        <w:t>-201</w:t>
      </w:r>
      <w:r w:rsidR="00830048">
        <w:t>4</w:t>
      </w:r>
      <w:r>
        <w:t>:</w:t>
      </w:r>
    </w:p>
    <w:p w:rsidR="009D19F5" w:rsidRDefault="009D19F5" w:rsidP="001069A1">
      <w:pPr>
        <w:shd w:val="clear" w:color="auto" w:fill="FFFFFF"/>
        <w:outlineLvl w:val="1"/>
      </w:pPr>
    </w:p>
    <w:p w:rsidR="009D19F5" w:rsidRPr="000F289F" w:rsidRDefault="009D19F5" w:rsidP="009D19F5">
      <w:pPr>
        <w:shd w:val="clear" w:color="auto" w:fill="FFFFFF"/>
        <w:outlineLvl w:val="1"/>
        <w:rPr>
          <w:rFonts w:ascii="Arial" w:hAnsi="Arial" w:cs="Arial"/>
          <w:b/>
          <w:i/>
          <w:sz w:val="20"/>
          <w:szCs w:val="20"/>
        </w:rPr>
      </w:pPr>
      <w:r w:rsidRPr="000F289F">
        <w:rPr>
          <w:rFonts w:ascii="Arial" w:hAnsi="Arial" w:cs="Arial"/>
          <w:b/>
          <w:i/>
          <w:sz w:val="20"/>
          <w:szCs w:val="20"/>
        </w:rPr>
        <w:t>1. Identify a faculty member to serve as rep</w:t>
      </w:r>
      <w:r w:rsidR="007A235F" w:rsidRPr="000F289F">
        <w:rPr>
          <w:rFonts w:ascii="Arial" w:hAnsi="Arial" w:cs="Arial"/>
          <w:b/>
          <w:i/>
          <w:sz w:val="20"/>
          <w:szCs w:val="20"/>
        </w:rPr>
        <w:t>resentative</w:t>
      </w:r>
      <w:r w:rsidRPr="000F289F">
        <w:rPr>
          <w:rFonts w:ascii="Arial" w:hAnsi="Arial" w:cs="Arial"/>
          <w:b/>
          <w:i/>
          <w:sz w:val="20"/>
          <w:szCs w:val="20"/>
        </w:rPr>
        <w:t xml:space="preserve"> </w:t>
      </w:r>
      <w:r w:rsidR="007A235F" w:rsidRPr="000F289F">
        <w:rPr>
          <w:rFonts w:ascii="Arial" w:hAnsi="Arial" w:cs="Arial"/>
          <w:b/>
          <w:i/>
          <w:sz w:val="20"/>
          <w:szCs w:val="20"/>
        </w:rPr>
        <w:t>to</w:t>
      </w:r>
      <w:r w:rsidRPr="000F289F">
        <w:rPr>
          <w:rFonts w:ascii="Arial" w:hAnsi="Arial" w:cs="Arial"/>
          <w:b/>
          <w:i/>
          <w:sz w:val="20"/>
          <w:szCs w:val="20"/>
        </w:rPr>
        <w:t xml:space="preserve"> SGA </w:t>
      </w:r>
      <w:r w:rsidR="007A235F" w:rsidRPr="000F289F">
        <w:rPr>
          <w:rFonts w:ascii="Arial" w:hAnsi="Arial" w:cs="Arial"/>
          <w:b/>
          <w:i/>
          <w:sz w:val="20"/>
          <w:szCs w:val="20"/>
        </w:rPr>
        <w:t xml:space="preserve">Senate </w:t>
      </w:r>
      <w:r w:rsidRPr="000F289F">
        <w:rPr>
          <w:rFonts w:ascii="Arial" w:hAnsi="Arial" w:cs="Arial"/>
          <w:b/>
          <w:i/>
          <w:sz w:val="20"/>
          <w:szCs w:val="20"/>
        </w:rPr>
        <w:t>meetings.</w:t>
      </w:r>
    </w:p>
    <w:p w:rsidR="009D19F5" w:rsidRPr="000F289F" w:rsidRDefault="009D19F5" w:rsidP="009D19F5">
      <w:pPr>
        <w:shd w:val="clear" w:color="auto" w:fill="FFFFFF"/>
        <w:outlineLvl w:val="1"/>
        <w:rPr>
          <w:rFonts w:ascii="Arial" w:hAnsi="Arial" w:cs="Arial"/>
          <w:b/>
          <w:i/>
          <w:sz w:val="20"/>
          <w:szCs w:val="20"/>
        </w:rPr>
      </w:pPr>
      <w:r w:rsidRPr="000F289F">
        <w:rPr>
          <w:rFonts w:ascii="Arial" w:hAnsi="Arial" w:cs="Arial"/>
          <w:b/>
          <w:i/>
          <w:sz w:val="20"/>
          <w:szCs w:val="20"/>
        </w:rPr>
        <w:t>2. Monitor international student enrollment.</w:t>
      </w:r>
    </w:p>
    <w:p w:rsidR="009D19F5" w:rsidRPr="000F289F" w:rsidRDefault="009D19F5" w:rsidP="009D19F5">
      <w:pPr>
        <w:shd w:val="clear" w:color="auto" w:fill="FFFFFF"/>
        <w:outlineLvl w:val="1"/>
        <w:rPr>
          <w:rFonts w:ascii="Arial" w:hAnsi="Arial" w:cs="Arial"/>
          <w:b/>
          <w:i/>
          <w:sz w:val="20"/>
          <w:szCs w:val="20"/>
        </w:rPr>
      </w:pPr>
      <w:r w:rsidRPr="000F289F">
        <w:rPr>
          <w:rFonts w:ascii="Arial" w:hAnsi="Arial" w:cs="Arial"/>
          <w:b/>
          <w:i/>
          <w:sz w:val="20"/>
          <w:szCs w:val="20"/>
        </w:rPr>
        <w:t>3. Administer the Faculty Scholarship</w:t>
      </w:r>
      <w:r w:rsidR="00287343">
        <w:rPr>
          <w:rFonts w:ascii="Arial" w:hAnsi="Arial" w:cs="Arial"/>
          <w:b/>
          <w:i/>
          <w:sz w:val="20"/>
          <w:szCs w:val="20"/>
        </w:rPr>
        <w:t>.</w:t>
      </w:r>
      <w:r w:rsidR="00C1584F">
        <w:rPr>
          <w:rFonts w:ascii="Arial" w:hAnsi="Arial" w:cs="Arial"/>
          <w:b/>
          <w:i/>
          <w:sz w:val="20"/>
          <w:szCs w:val="20"/>
        </w:rPr>
        <w:t xml:space="preserve">  </w:t>
      </w:r>
      <w:r w:rsidR="00945450">
        <w:rPr>
          <w:rFonts w:ascii="Arial" w:hAnsi="Arial" w:cs="Arial"/>
          <w:b/>
          <w:i/>
          <w:sz w:val="20"/>
          <w:szCs w:val="20"/>
        </w:rPr>
        <w:t>Investigate “fast-tracking” of scholarship winners to the Executive Committee.</w:t>
      </w:r>
    </w:p>
    <w:p w:rsidR="007A235F" w:rsidRPr="000F289F" w:rsidRDefault="007A235F" w:rsidP="007A235F">
      <w:pPr>
        <w:ind w:left="270" w:hanging="270"/>
        <w:rPr>
          <w:rFonts w:ascii="Arial" w:hAnsi="Arial" w:cs="Arial"/>
          <w:b/>
          <w:sz w:val="20"/>
          <w:szCs w:val="20"/>
        </w:rPr>
      </w:pPr>
      <w:r w:rsidRPr="000F289F">
        <w:rPr>
          <w:rFonts w:ascii="Arial" w:hAnsi="Arial" w:cs="Arial"/>
          <w:b/>
          <w:i/>
          <w:sz w:val="20"/>
          <w:szCs w:val="20"/>
        </w:rPr>
        <w:t xml:space="preserve">4. </w:t>
      </w:r>
      <w:r w:rsidR="00287343" w:rsidRPr="007A21B3">
        <w:rPr>
          <w:rFonts w:ascii="Arial" w:hAnsi="Arial" w:cs="Arial"/>
          <w:b/>
          <w:i/>
          <w:sz w:val="20"/>
          <w:szCs w:val="20"/>
        </w:rPr>
        <w:t>Continue to monitor late textbook purchases</w:t>
      </w:r>
      <w:r w:rsidR="0081715B" w:rsidRPr="007A21B3">
        <w:rPr>
          <w:rFonts w:ascii="Arial" w:hAnsi="Arial" w:cs="Arial"/>
          <w:b/>
          <w:i/>
          <w:sz w:val="20"/>
          <w:szCs w:val="20"/>
        </w:rPr>
        <w:t xml:space="preserve"> in 2013-2014</w:t>
      </w:r>
      <w:r w:rsidR="00287343" w:rsidRPr="007A21B3">
        <w:rPr>
          <w:rFonts w:ascii="Arial" w:hAnsi="Arial" w:cs="Arial"/>
          <w:b/>
          <w:i/>
          <w:sz w:val="20"/>
          <w:szCs w:val="20"/>
        </w:rPr>
        <w:t>.</w:t>
      </w:r>
    </w:p>
    <w:p w:rsidR="00F661BF" w:rsidRDefault="004D1CDF" w:rsidP="007A235F">
      <w:pPr>
        <w:ind w:left="270" w:hanging="270"/>
      </w:pPr>
      <w:r w:rsidRPr="000F289F">
        <w:rPr>
          <w:rFonts w:ascii="Arial" w:hAnsi="Arial" w:cs="Arial"/>
          <w:b/>
          <w:i/>
          <w:sz w:val="20"/>
          <w:szCs w:val="20"/>
        </w:rPr>
        <w:t>5.</w:t>
      </w:r>
      <w:r w:rsidRPr="000F289F">
        <w:rPr>
          <w:rFonts w:ascii="Arial" w:hAnsi="Arial" w:cs="Arial"/>
          <w:b/>
          <w:sz w:val="20"/>
          <w:szCs w:val="20"/>
        </w:rPr>
        <w:t xml:space="preserve"> </w:t>
      </w:r>
      <w:r w:rsidRPr="007A21B3">
        <w:rPr>
          <w:rFonts w:ascii="Arial" w:hAnsi="Arial" w:cs="Arial"/>
          <w:b/>
          <w:i/>
          <w:sz w:val="20"/>
          <w:szCs w:val="20"/>
        </w:rPr>
        <w:t xml:space="preserve">Continue to monitor </w:t>
      </w:r>
      <w:r w:rsidR="00F661BF" w:rsidRPr="007A21B3">
        <w:rPr>
          <w:rFonts w:ascii="Arial" w:hAnsi="Arial" w:cs="Arial"/>
          <w:b/>
          <w:i/>
          <w:sz w:val="20"/>
          <w:szCs w:val="20"/>
        </w:rPr>
        <w:t>current rules governing course evaluation policies and practices at department and college levels</w:t>
      </w:r>
      <w:r w:rsidR="00301941" w:rsidRPr="007A21B3">
        <w:rPr>
          <w:rFonts w:ascii="Arial" w:hAnsi="Arial" w:cs="Arial"/>
          <w:b/>
          <w:i/>
          <w:sz w:val="20"/>
          <w:szCs w:val="20"/>
        </w:rPr>
        <w:t xml:space="preserve"> and to keep abreast of the Provost’s task force investigating alternative evaluation instruments</w:t>
      </w:r>
      <w:r w:rsidR="00F661BF" w:rsidRPr="007A21B3">
        <w:rPr>
          <w:rFonts w:ascii="Arial" w:hAnsi="Arial" w:cs="Arial"/>
          <w:b/>
          <w:i/>
          <w:sz w:val="20"/>
          <w:szCs w:val="20"/>
        </w:rPr>
        <w:t>.</w:t>
      </w:r>
      <w:r w:rsidR="00F661BF">
        <w:t xml:space="preserve">  </w:t>
      </w:r>
    </w:p>
    <w:p w:rsidR="00A75C24" w:rsidRDefault="00A75C24" w:rsidP="007963D0"/>
    <w:p w:rsidR="00945450" w:rsidRDefault="00945450">
      <w:pPr>
        <w:rPr>
          <w:rFonts w:ascii="Arial" w:hAnsi="Arial" w:cs="Arial"/>
          <w:b/>
          <w:sz w:val="20"/>
          <w:szCs w:val="20"/>
        </w:rPr>
      </w:pPr>
      <w:r>
        <w:rPr>
          <w:rFonts w:ascii="Arial" w:hAnsi="Arial" w:cs="Arial"/>
          <w:b/>
          <w:sz w:val="20"/>
          <w:szCs w:val="20"/>
        </w:rPr>
        <w:br w:type="page"/>
      </w:r>
    </w:p>
    <w:p w:rsidR="004B779A" w:rsidRDefault="00541C2B" w:rsidP="007963D0">
      <w:pPr>
        <w:rPr>
          <w:u w:val="single"/>
        </w:rPr>
      </w:pPr>
      <w:r w:rsidRPr="000F289F">
        <w:rPr>
          <w:rFonts w:ascii="Arial" w:hAnsi="Arial" w:cs="Arial"/>
          <w:b/>
          <w:sz w:val="20"/>
          <w:szCs w:val="20"/>
        </w:rPr>
        <w:lastRenderedPageBreak/>
        <w:t>S</w:t>
      </w:r>
      <w:r w:rsidR="00A75C24" w:rsidRPr="000F289F">
        <w:rPr>
          <w:rFonts w:ascii="Arial" w:hAnsi="Arial" w:cs="Arial"/>
          <w:b/>
          <w:sz w:val="20"/>
          <w:szCs w:val="20"/>
        </w:rPr>
        <w:t xml:space="preserve">AC addressed </w:t>
      </w:r>
      <w:r w:rsidR="00B6238B" w:rsidRPr="000F289F">
        <w:rPr>
          <w:rFonts w:ascii="Arial" w:hAnsi="Arial" w:cs="Arial"/>
          <w:b/>
          <w:sz w:val="20"/>
          <w:szCs w:val="20"/>
        </w:rPr>
        <w:t>the following</w:t>
      </w:r>
      <w:r w:rsidR="00264730" w:rsidRPr="000F289F">
        <w:rPr>
          <w:rFonts w:ascii="Arial" w:hAnsi="Arial" w:cs="Arial"/>
          <w:b/>
          <w:sz w:val="20"/>
          <w:szCs w:val="20"/>
        </w:rPr>
        <w:t xml:space="preserve"> charges</w:t>
      </w:r>
      <w:r w:rsidR="00B6238B" w:rsidRPr="009D19F5">
        <w:t>:</w:t>
      </w:r>
    </w:p>
    <w:p w:rsidR="004B779A" w:rsidRDefault="004B779A" w:rsidP="007963D0">
      <w:pPr>
        <w:rPr>
          <w:u w:val="single"/>
        </w:rPr>
      </w:pPr>
    </w:p>
    <w:p w:rsidR="00C211A4" w:rsidRPr="00945450" w:rsidRDefault="00C211A4" w:rsidP="007963D0">
      <w:pPr>
        <w:rPr>
          <w:rFonts w:ascii="Arial" w:hAnsi="Arial" w:cs="Arial"/>
          <w:b/>
          <w:sz w:val="20"/>
          <w:szCs w:val="20"/>
        </w:rPr>
      </w:pPr>
      <w:proofErr w:type="spellStart"/>
      <w:r w:rsidRPr="00945450">
        <w:rPr>
          <w:rFonts w:ascii="Arial" w:hAnsi="Arial" w:cs="Arial"/>
          <w:b/>
          <w:sz w:val="20"/>
          <w:szCs w:val="20"/>
        </w:rPr>
        <w:t>OnGoing</w:t>
      </w:r>
      <w:proofErr w:type="spellEnd"/>
      <w:r w:rsidRPr="00945450">
        <w:rPr>
          <w:rFonts w:ascii="Arial" w:hAnsi="Arial" w:cs="Arial"/>
          <w:b/>
          <w:sz w:val="20"/>
          <w:szCs w:val="20"/>
        </w:rPr>
        <w:t xml:space="preserve"> Charges</w:t>
      </w:r>
    </w:p>
    <w:p w:rsidR="00C211A4" w:rsidRDefault="00C211A4" w:rsidP="00A05717">
      <w:pPr>
        <w:rPr>
          <w:b/>
          <w:i/>
        </w:rPr>
      </w:pPr>
    </w:p>
    <w:p w:rsidR="0027364C" w:rsidRPr="00F961C0" w:rsidRDefault="00A05717" w:rsidP="00487E6D">
      <w:pPr>
        <w:ind w:left="270" w:hanging="270"/>
        <w:rPr>
          <w:b/>
          <w:color w:val="C00000"/>
          <w:szCs w:val="20"/>
        </w:rPr>
      </w:pPr>
      <w:r w:rsidRPr="00F961C0">
        <w:rPr>
          <w:b/>
          <w:i/>
        </w:rPr>
        <w:t xml:space="preserve">1. </w:t>
      </w:r>
      <w:r w:rsidR="00541C2B" w:rsidRPr="00D12D9C">
        <w:rPr>
          <w:rFonts w:ascii="Arial" w:hAnsi="Arial" w:cs="Arial"/>
          <w:b/>
          <w:i/>
          <w:sz w:val="20"/>
          <w:szCs w:val="20"/>
        </w:rPr>
        <w:t>Identify a faculty member to serve as rep at SGA meetings</w:t>
      </w:r>
      <w:r w:rsidR="007228AF">
        <w:rPr>
          <w:b/>
          <w:i/>
        </w:rPr>
        <w:t>.</w:t>
      </w:r>
      <w:r w:rsidR="00487E6D">
        <w:t xml:space="preserve">  </w:t>
      </w:r>
      <w:r w:rsidR="00DF3A99">
        <w:rPr>
          <w:rFonts w:ascii="Arial" w:hAnsi="Arial" w:cs="Arial"/>
          <w:sz w:val="20"/>
          <w:szCs w:val="20"/>
        </w:rPr>
        <w:t xml:space="preserve">Jake Jakaitis served in fall and Jeff Hauser in spring.  </w:t>
      </w:r>
      <w:r w:rsidR="006226DE" w:rsidRPr="00D12D9C">
        <w:rPr>
          <w:rFonts w:ascii="Arial" w:hAnsi="Arial" w:cs="Arial"/>
          <w:sz w:val="20"/>
          <w:szCs w:val="20"/>
        </w:rPr>
        <w:t xml:space="preserve">In addition to serving as a liaison between SGA and SAC, the representative should also encourage the SGA President and Executive to work with the appropriate Standing Committee Chairs to </w:t>
      </w:r>
      <w:proofErr w:type="gramStart"/>
      <w:r w:rsidR="006226DE" w:rsidRPr="00D12D9C">
        <w:rPr>
          <w:rFonts w:ascii="Arial" w:hAnsi="Arial" w:cs="Arial"/>
          <w:sz w:val="20"/>
          <w:szCs w:val="20"/>
        </w:rPr>
        <w:t xml:space="preserve">coordinate </w:t>
      </w:r>
      <w:r w:rsidR="00B5309F" w:rsidRPr="00D12D9C">
        <w:rPr>
          <w:rFonts w:ascii="Arial" w:hAnsi="Arial" w:cs="Arial"/>
          <w:sz w:val="20"/>
          <w:szCs w:val="20"/>
        </w:rPr>
        <w:t xml:space="preserve"> </w:t>
      </w:r>
      <w:r w:rsidR="006226DE" w:rsidRPr="00D12D9C">
        <w:rPr>
          <w:rFonts w:ascii="Arial" w:hAnsi="Arial" w:cs="Arial"/>
          <w:sz w:val="20"/>
          <w:szCs w:val="20"/>
        </w:rPr>
        <w:t>appointment</w:t>
      </w:r>
      <w:proofErr w:type="gramEnd"/>
      <w:r w:rsidR="006226DE" w:rsidRPr="00D12D9C">
        <w:rPr>
          <w:rFonts w:ascii="Arial" w:hAnsi="Arial" w:cs="Arial"/>
          <w:sz w:val="20"/>
          <w:szCs w:val="20"/>
        </w:rPr>
        <w:t xml:space="preserve"> of student representatives.  The faculty representative should also encourage students to participate as student representatives.  </w:t>
      </w:r>
      <w:r w:rsidR="00B64971">
        <w:rPr>
          <w:rFonts w:ascii="Arial" w:hAnsi="Arial" w:cs="Arial"/>
          <w:sz w:val="20"/>
          <w:szCs w:val="20"/>
        </w:rPr>
        <w:t xml:space="preserve">SAC recommends this </w:t>
      </w:r>
      <w:r w:rsidR="006226DE" w:rsidRPr="00D12D9C">
        <w:rPr>
          <w:rFonts w:ascii="Arial" w:hAnsi="Arial" w:cs="Arial"/>
          <w:sz w:val="20"/>
          <w:szCs w:val="20"/>
        </w:rPr>
        <w:t>as an ongoing charge</w:t>
      </w:r>
      <w:r w:rsidR="006226DE">
        <w:rPr>
          <w:szCs w:val="20"/>
        </w:rPr>
        <w:t>.</w:t>
      </w:r>
    </w:p>
    <w:p w:rsidR="00B5309F" w:rsidRDefault="00B5309F" w:rsidP="00A05717">
      <w:pPr>
        <w:rPr>
          <w:szCs w:val="20"/>
        </w:rPr>
      </w:pPr>
    </w:p>
    <w:p w:rsidR="00DF3A99" w:rsidRDefault="009211F9" w:rsidP="00487E6D">
      <w:pPr>
        <w:ind w:left="270" w:hanging="270"/>
        <w:rPr>
          <w:rFonts w:ascii="Arial" w:hAnsi="Arial" w:cs="Arial"/>
          <w:sz w:val="20"/>
          <w:szCs w:val="20"/>
        </w:rPr>
      </w:pPr>
      <w:r>
        <w:rPr>
          <w:b/>
          <w:i/>
        </w:rPr>
        <w:t>2</w:t>
      </w:r>
      <w:r w:rsidR="00F961C0" w:rsidRPr="00F961C0">
        <w:rPr>
          <w:b/>
          <w:i/>
        </w:rPr>
        <w:t xml:space="preserve">. </w:t>
      </w:r>
      <w:r w:rsidRPr="00945450">
        <w:rPr>
          <w:rFonts w:ascii="Arial" w:hAnsi="Arial" w:cs="Arial"/>
          <w:b/>
          <w:i/>
          <w:sz w:val="20"/>
          <w:szCs w:val="20"/>
        </w:rPr>
        <w:t>Monitor changes</w:t>
      </w:r>
      <w:r w:rsidR="007228AF" w:rsidRPr="00945450">
        <w:rPr>
          <w:rFonts w:ascii="Arial" w:hAnsi="Arial" w:cs="Arial"/>
          <w:b/>
          <w:i/>
          <w:sz w:val="20"/>
          <w:szCs w:val="20"/>
        </w:rPr>
        <w:t xml:space="preserve"> in international student enrollment</w:t>
      </w:r>
      <w:r w:rsidR="007228AF">
        <w:t>.</w:t>
      </w:r>
      <w:r w:rsidR="00487E6D">
        <w:t xml:space="preserve">  </w:t>
      </w:r>
      <w:r w:rsidR="00021244" w:rsidRPr="00021244">
        <w:rPr>
          <w:rFonts w:ascii="Arial" w:hAnsi="Arial" w:cs="Arial"/>
          <w:sz w:val="20"/>
          <w:szCs w:val="20"/>
        </w:rPr>
        <w:t>J. Buffington assumed responsibility for this charge.</w:t>
      </w:r>
      <w:r w:rsidR="00021244">
        <w:t xml:space="preserve">  </w:t>
      </w:r>
      <w:r w:rsidR="00DF3A99" w:rsidRPr="00A9497C">
        <w:rPr>
          <w:rFonts w:ascii="Arial" w:hAnsi="Arial" w:cs="Arial"/>
          <w:sz w:val="20"/>
          <w:szCs w:val="20"/>
        </w:rPr>
        <w:t xml:space="preserve">The Office of International Programs and Services has announced enrollments in fall of 2012 were 616.  This total compares to the 556 enrolled in fall of 2011. </w:t>
      </w:r>
      <w:r w:rsidR="00DF3A99">
        <w:rPr>
          <w:rFonts w:ascii="Arial" w:hAnsi="Arial" w:cs="Arial"/>
          <w:sz w:val="20"/>
          <w:szCs w:val="20"/>
        </w:rPr>
        <w:t xml:space="preserve"> </w:t>
      </w:r>
      <w:r w:rsidR="00DF3A99" w:rsidRPr="00A9497C">
        <w:rPr>
          <w:rFonts w:ascii="Arial" w:hAnsi="Arial" w:cs="Arial"/>
          <w:sz w:val="20"/>
          <w:szCs w:val="20"/>
        </w:rPr>
        <w:t xml:space="preserve"> </w:t>
      </w:r>
      <w:r w:rsidR="00DF3A99">
        <w:rPr>
          <w:rFonts w:ascii="Arial" w:hAnsi="Arial" w:cs="Arial"/>
          <w:sz w:val="20"/>
          <w:szCs w:val="20"/>
        </w:rPr>
        <w:t>The fall of 2011 enrollment was the highest since fall of 1997, when 558 were enrolled.  The fall of 2012 total is the largest since fall 1993’s 646.</w:t>
      </w:r>
    </w:p>
    <w:p w:rsidR="00DF3A99" w:rsidRDefault="00DF3A99" w:rsidP="00DF3A99">
      <w:pPr>
        <w:rPr>
          <w:rFonts w:ascii="Arial" w:hAnsi="Arial" w:cs="Arial"/>
          <w:sz w:val="20"/>
          <w:szCs w:val="20"/>
        </w:rPr>
      </w:pPr>
    </w:p>
    <w:p w:rsidR="00DD74FB" w:rsidRDefault="00DF3A99" w:rsidP="00487E6D">
      <w:pPr>
        <w:ind w:left="270"/>
        <w:rPr>
          <w:rFonts w:ascii="Arial" w:hAnsi="Arial" w:cs="Arial"/>
          <w:sz w:val="20"/>
          <w:szCs w:val="20"/>
        </w:rPr>
      </w:pPr>
      <w:r>
        <w:rPr>
          <w:rFonts w:ascii="Arial" w:hAnsi="Arial" w:cs="Arial"/>
          <w:sz w:val="20"/>
          <w:szCs w:val="20"/>
        </w:rPr>
        <w:t>The Office of International Programs and Services is in the process of changing its name to the Center for Global Engagement.  There is some possibility that the Center will become the Lee Hamilton Center or the Richard Lugar Center.</w:t>
      </w:r>
    </w:p>
    <w:p w:rsidR="00487E6D" w:rsidRPr="00DF3A99" w:rsidRDefault="00487E6D" w:rsidP="00DF3A99">
      <w:pPr>
        <w:rPr>
          <w:rFonts w:ascii="Arial" w:hAnsi="Arial" w:cs="Arial"/>
          <w:sz w:val="20"/>
          <w:szCs w:val="20"/>
        </w:rPr>
      </w:pPr>
    </w:p>
    <w:p w:rsidR="00DD74FB" w:rsidRDefault="00F10F1C" w:rsidP="004E24DE">
      <w:pPr>
        <w:ind w:left="270"/>
        <w:rPr>
          <w:bCs/>
        </w:rPr>
      </w:pPr>
      <w:r w:rsidRPr="007314F1">
        <w:rPr>
          <w:rFonts w:ascii="Arial" w:hAnsi="Arial" w:cs="Arial"/>
          <w:b/>
          <w:sz w:val="20"/>
          <w:szCs w:val="20"/>
        </w:rPr>
        <w:t>SAC Recommendation</w:t>
      </w:r>
      <w:r>
        <w:rPr>
          <w:rFonts w:ascii="Arial" w:hAnsi="Arial" w:cs="Arial"/>
          <w:sz w:val="20"/>
          <w:szCs w:val="20"/>
        </w:rPr>
        <w:t xml:space="preserve">: </w:t>
      </w:r>
      <w:r w:rsidR="00DF3A99">
        <w:rPr>
          <w:rFonts w:ascii="Arial" w:hAnsi="Arial" w:cs="Arial"/>
          <w:sz w:val="20"/>
          <w:szCs w:val="20"/>
        </w:rPr>
        <w:t>SAC recommends this as an ongoing charge.</w:t>
      </w:r>
    </w:p>
    <w:p w:rsidR="00F10F1C" w:rsidRDefault="00F10F1C" w:rsidP="00DD74FB">
      <w:pPr>
        <w:rPr>
          <w:bCs/>
        </w:rPr>
      </w:pPr>
    </w:p>
    <w:p w:rsidR="00050CF0" w:rsidRDefault="00E94CEE" w:rsidP="008B07AF">
      <w:pPr>
        <w:ind w:left="270" w:hanging="270"/>
        <w:rPr>
          <w:rFonts w:ascii="Arial" w:hAnsi="Arial" w:cs="Arial"/>
          <w:sz w:val="20"/>
          <w:szCs w:val="20"/>
        </w:rPr>
      </w:pPr>
      <w:r>
        <w:rPr>
          <w:b/>
          <w:i/>
        </w:rPr>
        <w:t>3</w:t>
      </w:r>
      <w:r w:rsidR="000B0B9F" w:rsidRPr="000B0B9F">
        <w:rPr>
          <w:b/>
          <w:i/>
        </w:rPr>
        <w:t xml:space="preserve">. </w:t>
      </w:r>
      <w:r w:rsidR="00AB071B" w:rsidRPr="00945450">
        <w:rPr>
          <w:rFonts w:ascii="Arial" w:hAnsi="Arial" w:cs="Arial"/>
          <w:b/>
          <w:i/>
          <w:sz w:val="20"/>
          <w:szCs w:val="20"/>
        </w:rPr>
        <w:t>Administer the Faculty Scholarship</w:t>
      </w:r>
      <w:r w:rsidR="00AB071B">
        <w:rPr>
          <w:b/>
          <w:i/>
        </w:rPr>
        <w:t>.</w:t>
      </w:r>
      <w:r w:rsidR="008B07AF">
        <w:t xml:space="preserve">  </w:t>
      </w:r>
      <w:r w:rsidR="00926F55">
        <w:rPr>
          <w:rFonts w:ascii="Arial" w:hAnsi="Arial" w:cs="Arial"/>
          <w:sz w:val="20"/>
          <w:szCs w:val="20"/>
        </w:rPr>
        <w:t>The SAC Scholarship Subcommittee (</w:t>
      </w:r>
      <w:proofErr w:type="spellStart"/>
      <w:r w:rsidR="00DF3A99">
        <w:rPr>
          <w:rFonts w:ascii="Arial" w:hAnsi="Arial" w:cs="Arial"/>
          <w:sz w:val="20"/>
          <w:szCs w:val="20"/>
        </w:rPr>
        <w:t>Swapan</w:t>
      </w:r>
      <w:proofErr w:type="spellEnd"/>
      <w:r w:rsidR="00DF3A99">
        <w:rPr>
          <w:rFonts w:ascii="Arial" w:hAnsi="Arial" w:cs="Arial"/>
          <w:sz w:val="20"/>
          <w:szCs w:val="20"/>
        </w:rPr>
        <w:t xml:space="preserve"> </w:t>
      </w:r>
      <w:proofErr w:type="spellStart"/>
      <w:r w:rsidR="00DF3A99">
        <w:rPr>
          <w:rFonts w:ascii="Arial" w:hAnsi="Arial" w:cs="Arial"/>
          <w:sz w:val="20"/>
          <w:szCs w:val="20"/>
        </w:rPr>
        <w:t>Ghosh</w:t>
      </w:r>
      <w:proofErr w:type="spellEnd"/>
      <w:r w:rsidR="00926F55" w:rsidRPr="005635D1">
        <w:rPr>
          <w:rFonts w:ascii="Arial" w:hAnsi="Arial" w:cs="Arial"/>
          <w:sz w:val="20"/>
          <w:szCs w:val="20"/>
        </w:rPr>
        <w:t xml:space="preserve">, </w:t>
      </w:r>
      <w:r w:rsidR="00DF3A99">
        <w:rPr>
          <w:rFonts w:ascii="Arial" w:hAnsi="Arial" w:cs="Arial"/>
          <w:sz w:val="20"/>
          <w:szCs w:val="20"/>
        </w:rPr>
        <w:t>Azizi Arrington-Bey</w:t>
      </w:r>
      <w:r w:rsidR="00926F55" w:rsidRPr="005635D1">
        <w:rPr>
          <w:rFonts w:ascii="Arial" w:hAnsi="Arial" w:cs="Arial"/>
          <w:sz w:val="20"/>
          <w:szCs w:val="20"/>
        </w:rPr>
        <w:t xml:space="preserve">, </w:t>
      </w:r>
      <w:r w:rsidR="00DF3A99">
        <w:rPr>
          <w:rFonts w:ascii="Arial" w:hAnsi="Arial" w:cs="Arial"/>
          <w:sz w:val="20"/>
          <w:szCs w:val="20"/>
        </w:rPr>
        <w:t xml:space="preserve">John </w:t>
      </w:r>
      <w:proofErr w:type="gramStart"/>
      <w:r w:rsidR="00DF3A99">
        <w:rPr>
          <w:rFonts w:ascii="Arial" w:hAnsi="Arial" w:cs="Arial"/>
          <w:sz w:val="20"/>
          <w:szCs w:val="20"/>
        </w:rPr>
        <w:t>Liu</w:t>
      </w:r>
      <w:r w:rsidR="00926F55">
        <w:rPr>
          <w:rFonts w:ascii="Arial" w:hAnsi="Arial" w:cs="Arial"/>
          <w:sz w:val="20"/>
          <w:szCs w:val="20"/>
        </w:rPr>
        <w:t xml:space="preserve"> )</w:t>
      </w:r>
      <w:proofErr w:type="gramEnd"/>
      <w:r w:rsidR="00926F55">
        <w:rPr>
          <w:rFonts w:ascii="Arial" w:hAnsi="Arial" w:cs="Arial"/>
          <w:sz w:val="20"/>
          <w:szCs w:val="20"/>
        </w:rPr>
        <w:t xml:space="preserve"> and SAC</w:t>
      </w:r>
      <w:r w:rsidR="00926F55" w:rsidRPr="00E20EA7">
        <w:rPr>
          <w:rFonts w:ascii="Arial" w:hAnsi="Arial" w:cs="Arial"/>
          <w:sz w:val="20"/>
          <w:szCs w:val="20"/>
        </w:rPr>
        <w:t xml:space="preserve"> recommended to the Faculty Senate that </w:t>
      </w:r>
      <w:r w:rsidR="00DF3A99">
        <w:rPr>
          <w:rFonts w:ascii="Arial" w:hAnsi="Arial" w:cs="Arial"/>
          <w:sz w:val="20"/>
          <w:szCs w:val="20"/>
        </w:rPr>
        <w:t>Sara Umphries</w:t>
      </w:r>
      <w:r w:rsidR="00926F55" w:rsidRPr="00E20EA7">
        <w:rPr>
          <w:rFonts w:ascii="Arial" w:hAnsi="Arial" w:cs="Arial"/>
          <w:sz w:val="20"/>
          <w:szCs w:val="20"/>
        </w:rPr>
        <w:t xml:space="preserve"> and </w:t>
      </w:r>
      <w:r w:rsidR="00DF3A99">
        <w:rPr>
          <w:rFonts w:ascii="Arial" w:hAnsi="Arial" w:cs="Arial"/>
          <w:sz w:val="20"/>
          <w:szCs w:val="20"/>
        </w:rPr>
        <w:t>Morgan Whitehead</w:t>
      </w:r>
      <w:r w:rsidR="00926F55" w:rsidRPr="00E20EA7">
        <w:rPr>
          <w:rFonts w:ascii="Arial" w:hAnsi="Arial" w:cs="Arial"/>
          <w:sz w:val="20"/>
          <w:szCs w:val="20"/>
        </w:rPr>
        <w:t xml:space="preserve"> each receive a scholarship of $</w:t>
      </w:r>
      <w:r w:rsidR="00244F6E">
        <w:rPr>
          <w:rFonts w:ascii="Arial" w:hAnsi="Arial" w:cs="Arial"/>
          <w:sz w:val="20"/>
          <w:szCs w:val="20"/>
        </w:rPr>
        <w:t>624</w:t>
      </w:r>
      <w:r w:rsidR="00926F55" w:rsidRPr="00E20EA7">
        <w:rPr>
          <w:rFonts w:ascii="Arial" w:hAnsi="Arial" w:cs="Arial"/>
          <w:sz w:val="20"/>
          <w:szCs w:val="20"/>
        </w:rPr>
        <w:t>.</w:t>
      </w:r>
      <w:r w:rsidR="00244F6E">
        <w:rPr>
          <w:rFonts w:ascii="Arial" w:hAnsi="Arial" w:cs="Arial"/>
          <w:sz w:val="20"/>
          <w:szCs w:val="20"/>
        </w:rPr>
        <w:t>96</w:t>
      </w:r>
      <w:r w:rsidR="00926F55" w:rsidRPr="00E20EA7">
        <w:rPr>
          <w:rFonts w:ascii="Arial" w:hAnsi="Arial" w:cs="Arial"/>
          <w:sz w:val="20"/>
          <w:szCs w:val="20"/>
        </w:rPr>
        <w:t xml:space="preserve">. </w:t>
      </w:r>
      <w:r w:rsidR="00244F6E">
        <w:rPr>
          <w:rFonts w:ascii="Arial" w:hAnsi="Arial" w:cs="Arial"/>
          <w:sz w:val="20"/>
          <w:szCs w:val="20"/>
        </w:rPr>
        <w:t xml:space="preserve">For the past two years, the amount awarded has been considerably less than the $1,250 per recipient awarded by SAC in spring 2011.  The amount awarded in spring 2012 was down because SAC had awarded more than the endowment had earned during the twelve months.  This year, the amount was less because the Foundation realized considerably less on endowment earnings, not only for this scholarship but across the board.  </w:t>
      </w:r>
      <w:r w:rsidR="00926F55">
        <w:rPr>
          <w:rFonts w:ascii="Arial" w:hAnsi="Arial" w:cs="Arial"/>
          <w:sz w:val="20"/>
          <w:szCs w:val="20"/>
        </w:rPr>
        <w:t xml:space="preserve">Applications for this scholarship numbered </w:t>
      </w:r>
      <w:r w:rsidR="00244F6E">
        <w:rPr>
          <w:rFonts w:ascii="Arial" w:hAnsi="Arial" w:cs="Arial"/>
          <w:sz w:val="20"/>
          <w:szCs w:val="20"/>
        </w:rPr>
        <w:t xml:space="preserve">69, less than the 85 last year, but the second highest total since the scholarships have been awarded. </w:t>
      </w:r>
      <w:r w:rsidR="00926F55" w:rsidRPr="00E20EA7">
        <w:rPr>
          <w:rFonts w:ascii="Arial" w:hAnsi="Arial" w:cs="Arial"/>
          <w:sz w:val="20"/>
          <w:szCs w:val="20"/>
        </w:rPr>
        <w:t>Both recipients attend</w:t>
      </w:r>
      <w:r w:rsidR="00244F6E">
        <w:rPr>
          <w:rFonts w:ascii="Arial" w:hAnsi="Arial" w:cs="Arial"/>
          <w:sz w:val="20"/>
          <w:szCs w:val="20"/>
        </w:rPr>
        <w:t>ed</w:t>
      </w:r>
      <w:r w:rsidR="00926F55" w:rsidRPr="00E20EA7">
        <w:rPr>
          <w:rFonts w:ascii="Arial" w:hAnsi="Arial" w:cs="Arial"/>
          <w:sz w:val="20"/>
          <w:szCs w:val="20"/>
        </w:rPr>
        <w:t xml:space="preserve"> and </w:t>
      </w:r>
      <w:r w:rsidR="00244F6E">
        <w:rPr>
          <w:rFonts w:ascii="Arial" w:hAnsi="Arial" w:cs="Arial"/>
          <w:sz w:val="20"/>
          <w:szCs w:val="20"/>
        </w:rPr>
        <w:t>were recognized at the April 18</w:t>
      </w:r>
      <w:r w:rsidR="00244F6E" w:rsidRPr="00244F6E">
        <w:rPr>
          <w:rFonts w:ascii="Arial" w:hAnsi="Arial" w:cs="Arial"/>
          <w:sz w:val="20"/>
          <w:szCs w:val="20"/>
          <w:vertAlign w:val="superscript"/>
        </w:rPr>
        <w:t>th</w:t>
      </w:r>
      <w:r w:rsidR="00244F6E">
        <w:rPr>
          <w:rFonts w:ascii="Arial" w:hAnsi="Arial" w:cs="Arial"/>
          <w:sz w:val="20"/>
          <w:szCs w:val="20"/>
        </w:rPr>
        <w:t xml:space="preserve"> </w:t>
      </w:r>
      <w:r w:rsidR="00926F55" w:rsidRPr="00E20EA7">
        <w:rPr>
          <w:rFonts w:ascii="Arial" w:hAnsi="Arial" w:cs="Arial"/>
          <w:sz w:val="20"/>
          <w:szCs w:val="20"/>
        </w:rPr>
        <w:t xml:space="preserve">Faculty Senate meeting. </w:t>
      </w:r>
      <w:r w:rsidR="00244F6E">
        <w:rPr>
          <w:rFonts w:ascii="Arial" w:hAnsi="Arial" w:cs="Arial"/>
          <w:sz w:val="20"/>
          <w:szCs w:val="20"/>
        </w:rPr>
        <w:t xml:space="preserve">This year, for the first time and thanks to a suggestion from Tami Rees, Administrative Assistant for Faculty Senate, ISU Media Relations was contacted about the event.  The event was photographed and details about the scholarship and the recipients were shared with Media Relations.  </w:t>
      </w:r>
    </w:p>
    <w:p w:rsidR="00050CF0" w:rsidRDefault="00050CF0" w:rsidP="00BC7281">
      <w:pPr>
        <w:rPr>
          <w:rFonts w:ascii="Arial" w:hAnsi="Arial" w:cs="Arial"/>
          <w:sz w:val="20"/>
          <w:szCs w:val="20"/>
        </w:rPr>
      </w:pPr>
    </w:p>
    <w:p w:rsidR="00050CF0" w:rsidRDefault="00050CF0" w:rsidP="008B07AF">
      <w:pPr>
        <w:ind w:left="270"/>
        <w:rPr>
          <w:rFonts w:ascii="Arial" w:hAnsi="Arial" w:cs="Arial"/>
          <w:sz w:val="20"/>
          <w:szCs w:val="20"/>
        </w:rPr>
      </w:pPr>
      <w:r>
        <w:rPr>
          <w:rFonts w:ascii="Arial" w:hAnsi="Arial" w:cs="Arial"/>
          <w:sz w:val="20"/>
          <w:szCs w:val="20"/>
        </w:rPr>
        <w:t>Concern was expressed in SAC about the Foundation’s handling of scholarship accounts.  One concern was that not all faculty donations directed to the Faculty Scholarship were actually credited to this account.  SAC received information all</w:t>
      </w:r>
      <w:r w:rsidR="007A21B3">
        <w:rPr>
          <w:rFonts w:ascii="Arial" w:hAnsi="Arial" w:cs="Arial"/>
          <w:sz w:val="20"/>
          <w:szCs w:val="20"/>
        </w:rPr>
        <w:t>a</w:t>
      </w:r>
      <w:r>
        <w:rPr>
          <w:rFonts w:ascii="Arial" w:hAnsi="Arial" w:cs="Arial"/>
          <w:sz w:val="20"/>
          <w:szCs w:val="20"/>
        </w:rPr>
        <w:t xml:space="preserve">ying those concerns.  A second concern was that the Faculty Scholarship was not one of those singled out for a donation at the Foundation website; to </w:t>
      </w:r>
      <w:proofErr w:type="gramStart"/>
      <w:r>
        <w:rPr>
          <w:rFonts w:ascii="Arial" w:hAnsi="Arial" w:cs="Arial"/>
          <w:sz w:val="20"/>
          <w:szCs w:val="20"/>
        </w:rPr>
        <w:t>donate,</w:t>
      </w:r>
      <w:proofErr w:type="gramEnd"/>
      <w:r>
        <w:rPr>
          <w:rFonts w:ascii="Arial" w:hAnsi="Arial" w:cs="Arial"/>
          <w:sz w:val="20"/>
          <w:szCs w:val="20"/>
        </w:rPr>
        <w:t xml:space="preserve"> </w:t>
      </w:r>
      <w:proofErr w:type="spellStart"/>
      <w:r>
        <w:rPr>
          <w:rFonts w:ascii="Arial" w:hAnsi="Arial" w:cs="Arial"/>
          <w:sz w:val="20"/>
          <w:szCs w:val="20"/>
        </w:rPr>
        <w:t>contributers</w:t>
      </w:r>
      <w:proofErr w:type="spellEnd"/>
      <w:r>
        <w:rPr>
          <w:rFonts w:ascii="Arial" w:hAnsi="Arial" w:cs="Arial"/>
          <w:sz w:val="20"/>
          <w:szCs w:val="20"/>
        </w:rPr>
        <w:t xml:space="preserve"> must select the “Other” option, and write in the name of the Scholarship.  </w:t>
      </w:r>
      <w:r w:rsidR="005842A7">
        <w:rPr>
          <w:rFonts w:ascii="Arial" w:hAnsi="Arial" w:cs="Arial"/>
          <w:sz w:val="20"/>
          <w:szCs w:val="20"/>
        </w:rPr>
        <w:t>The Foundation responded:</w:t>
      </w:r>
    </w:p>
    <w:p w:rsidR="005842A7" w:rsidRDefault="005842A7" w:rsidP="00BC7281">
      <w:pPr>
        <w:rPr>
          <w:rFonts w:ascii="Arial" w:hAnsi="Arial" w:cs="Arial"/>
          <w:sz w:val="20"/>
          <w:szCs w:val="20"/>
        </w:rPr>
      </w:pPr>
    </w:p>
    <w:p w:rsidR="005842A7" w:rsidRPr="005842A7" w:rsidRDefault="005842A7" w:rsidP="005842A7">
      <w:pPr>
        <w:pStyle w:val="PlainText"/>
        <w:numPr>
          <w:ilvl w:val="0"/>
          <w:numId w:val="19"/>
        </w:numPr>
        <w:spacing w:before="0" w:beforeAutospacing="0" w:after="0" w:afterAutospacing="0"/>
        <w:rPr>
          <w:sz w:val="20"/>
          <w:szCs w:val="20"/>
        </w:rPr>
      </w:pPr>
      <w:r w:rsidRPr="005842A7">
        <w:rPr>
          <w:sz w:val="20"/>
          <w:szCs w:val="20"/>
        </w:rPr>
        <w:t>Our online giving form must meet the needs of hundreds of university initiatives and funds so we are unable to provide more specific designation options on the form.</w:t>
      </w:r>
    </w:p>
    <w:p w:rsidR="005842A7" w:rsidRDefault="005842A7" w:rsidP="005842A7">
      <w:pPr>
        <w:pStyle w:val="PlainText"/>
        <w:numPr>
          <w:ilvl w:val="0"/>
          <w:numId w:val="19"/>
        </w:numPr>
        <w:spacing w:before="0" w:beforeAutospacing="0" w:after="0" w:afterAutospacing="0"/>
        <w:rPr>
          <w:sz w:val="20"/>
          <w:szCs w:val="20"/>
        </w:rPr>
      </w:pPr>
      <w:r w:rsidRPr="005842A7">
        <w:rPr>
          <w:sz w:val="20"/>
          <w:szCs w:val="20"/>
        </w:rPr>
        <w:t>In the spring of 2013 the Foundation will be launching a peer-to-peer fundraising platform which will give individual programs, departments, funds, and initiatives their own presence for giving. At this time only a handful of programs are participating in our pilot program.  If the Faculty Scholarship would like to participate please let me know.   Participation would require someone on your end to receive training and manage some administrative tasks.</w:t>
      </w:r>
    </w:p>
    <w:p w:rsidR="005842A7" w:rsidRDefault="005842A7" w:rsidP="005842A7">
      <w:pPr>
        <w:pStyle w:val="PlainText"/>
        <w:spacing w:before="0" w:beforeAutospacing="0" w:after="0" w:afterAutospacing="0"/>
        <w:rPr>
          <w:sz w:val="20"/>
          <w:szCs w:val="20"/>
        </w:rPr>
      </w:pPr>
    </w:p>
    <w:p w:rsidR="005842A7" w:rsidRPr="005842A7" w:rsidRDefault="005842A7" w:rsidP="007A21B3">
      <w:pPr>
        <w:pStyle w:val="PlainText"/>
        <w:spacing w:before="0" w:beforeAutospacing="0" w:after="0" w:afterAutospacing="0"/>
        <w:ind w:left="270"/>
        <w:rPr>
          <w:sz w:val="20"/>
          <w:szCs w:val="20"/>
        </w:rPr>
      </w:pPr>
      <w:r w:rsidRPr="007A21B3">
        <w:rPr>
          <w:sz w:val="20"/>
          <w:szCs w:val="20"/>
        </w:rPr>
        <w:t xml:space="preserve">SAC </w:t>
      </w:r>
      <w:r w:rsidR="007A21B3">
        <w:rPr>
          <w:sz w:val="20"/>
          <w:szCs w:val="20"/>
        </w:rPr>
        <w:t xml:space="preserve">is in the process </w:t>
      </w:r>
      <w:r w:rsidR="00B64971">
        <w:rPr>
          <w:sz w:val="20"/>
          <w:szCs w:val="20"/>
        </w:rPr>
        <w:t xml:space="preserve">of </w:t>
      </w:r>
      <w:r w:rsidR="007A21B3">
        <w:rPr>
          <w:sz w:val="20"/>
          <w:szCs w:val="20"/>
        </w:rPr>
        <w:t>designating the Administrative Assistant to the Faculty Se</w:t>
      </w:r>
      <w:r w:rsidR="00B64971">
        <w:rPr>
          <w:sz w:val="20"/>
          <w:szCs w:val="20"/>
        </w:rPr>
        <w:t>nate to participate as a pres</w:t>
      </w:r>
      <w:r w:rsidR="007A21B3">
        <w:rPr>
          <w:sz w:val="20"/>
          <w:szCs w:val="20"/>
        </w:rPr>
        <w:t>ence for gi</w:t>
      </w:r>
      <w:r w:rsidR="00B64971">
        <w:rPr>
          <w:sz w:val="20"/>
          <w:szCs w:val="20"/>
        </w:rPr>
        <w:t>ving at the Foundation website.</w:t>
      </w:r>
    </w:p>
    <w:p w:rsidR="005842A7" w:rsidRDefault="005842A7" w:rsidP="00BC7281">
      <w:pPr>
        <w:rPr>
          <w:rFonts w:ascii="Arial" w:hAnsi="Arial" w:cs="Arial"/>
          <w:sz w:val="20"/>
          <w:szCs w:val="20"/>
        </w:rPr>
      </w:pPr>
    </w:p>
    <w:p w:rsidR="00C211A4" w:rsidRDefault="00C211A4" w:rsidP="008B07AF">
      <w:pPr>
        <w:ind w:left="270"/>
        <w:rPr>
          <w:rFonts w:ascii="Arial" w:hAnsi="Arial" w:cs="Arial"/>
          <w:sz w:val="20"/>
          <w:szCs w:val="20"/>
        </w:rPr>
      </w:pPr>
      <w:r>
        <w:rPr>
          <w:rFonts w:ascii="Arial" w:hAnsi="Arial" w:cs="Arial"/>
          <w:sz w:val="20"/>
          <w:szCs w:val="20"/>
        </w:rPr>
        <w:lastRenderedPageBreak/>
        <w:t>In FY 2011-2012, 27 donors contributed $2,985 to the Scholarship.  In FY 2012-2013 (through December 5, 2012) 20 donors had contributed $1,080.</w:t>
      </w:r>
    </w:p>
    <w:p w:rsidR="00050CF0" w:rsidRDefault="00050CF0" w:rsidP="008B07AF">
      <w:pPr>
        <w:ind w:left="270"/>
        <w:rPr>
          <w:rFonts w:ascii="Arial" w:hAnsi="Arial" w:cs="Arial"/>
          <w:sz w:val="20"/>
          <w:szCs w:val="20"/>
        </w:rPr>
      </w:pPr>
    </w:p>
    <w:p w:rsidR="00B64971" w:rsidRDefault="00926F55" w:rsidP="00B64971">
      <w:pPr>
        <w:ind w:left="270"/>
        <w:rPr>
          <w:color w:val="1F497D"/>
        </w:rPr>
      </w:pPr>
      <w:r w:rsidRPr="00C211A4">
        <w:rPr>
          <w:rFonts w:ascii="Arial" w:hAnsi="Arial" w:cs="Arial"/>
          <w:sz w:val="20"/>
          <w:szCs w:val="20"/>
        </w:rPr>
        <w:t>As of December 31, 201</w:t>
      </w:r>
      <w:r w:rsidR="00050CF0" w:rsidRPr="00C211A4">
        <w:rPr>
          <w:rFonts w:ascii="Arial" w:hAnsi="Arial" w:cs="Arial"/>
          <w:sz w:val="20"/>
          <w:szCs w:val="20"/>
        </w:rPr>
        <w:t>2</w:t>
      </w:r>
      <w:r w:rsidRPr="00C211A4">
        <w:rPr>
          <w:rFonts w:ascii="Arial" w:hAnsi="Arial" w:cs="Arial"/>
          <w:sz w:val="20"/>
          <w:szCs w:val="20"/>
        </w:rPr>
        <w:t>, the market value of the endowed scholarship was</w:t>
      </w:r>
      <w:r w:rsidR="007A21B3">
        <w:rPr>
          <w:rFonts w:ascii="Arial" w:hAnsi="Arial" w:cs="Arial"/>
          <w:sz w:val="20"/>
          <w:szCs w:val="20"/>
        </w:rPr>
        <w:t xml:space="preserve"> </w:t>
      </w:r>
      <w:r w:rsidR="00B64971">
        <w:rPr>
          <w:rFonts w:ascii="Arial" w:hAnsi="Arial" w:cs="Arial"/>
          <w:sz w:val="20"/>
          <w:szCs w:val="20"/>
        </w:rPr>
        <w:t>$</w:t>
      </w:r>
      <w:r w:rsidR="00B64971" w:rsidRPr="00B64971">
        <w:rPr>
          <w:rFonts w:ascii="Arial" w:hAnsi="Arial" w:cs="Arial"/>
          <w:sz w:val="20"/>
          <w:szCs w:val="20"/>
        </w:rPr>
        <w:t>34,915.46</w:t>
      </w:r>
      <w:r w:rsidR="007A21B3">
        <w:rPr>
          <w:rFonts w:ascii="Arial" w:hAnsi="Arial" w:cs="Arial"/>
          <w:sz w:val="20"/>
          <w:szCs w:val="20"/>
        </w:rPr>
        <w:t>.  The comparable figure on December 31, 2011 was</w:t>
      </w:r>
      <w:r w:rsidRPr="00C211A4">
        <w:rPr>
          <w:rFonts w:ascii="Arial" w:hAnsi="Arial" w:cs="Arial"/>
          <w:sz w:val="20"/>
          <w:szCs w:val="20"/>
        </w:rPr>
        <w:t xml:space="preserve"> </w:t>
      </w:r>
      <w:r w:rsidRPr="007A21B3">
        <w:rPr>
          <w:rFonts w:ascii="Arial" w:hAnsi="Arial" w:cs="Arial"/>
          <w:sz w:val="20"/>
          <w:szCs w:val="20"/>
        </w:rPr>
        <w:t>$32,362.05</w:t>
      </w:r>
      <w:r w:rsidR="007A21B3">
        <w:rPr>
          <w:rFonts w:ascii="Arial" w:hAnsi="Arial" w:cs="Arial"/>
          <w:sz w:val="20"/>
          <w:szCs w:val="20"/>
        </w:rPr>
        <w:t>.</w:t>
      </w:r>
      <w:r w:rsidR="00B64971">
        <w:rPr>
          <w:rFonts w:ascii="Arial" w:hAnsi="Arial" w:cs="Arial"/>
          <w:sz w:val="20"/>
          <w:szCs w:val="20"/>
        </w:rPr>
        <w:t xml:space="preserve">  By March 31, 2013, the market value had risen to $</w:t>
      </w:r>
      <w:r w:rsidR="00B64971" w:rsidRPr="00B64971">
        <w:rPr>
          <w:rFonts w:ascii="Arial" w:hAnsi="Arial" w:cs="Arial"/>
          <w:sz w:val="20"/>
          <w:szCs w:val="20"/>
        </w:rPr>
        <w:t>37,425.07</w:t>
      </w:r>
      <w:r w:rsidR="00B64971">
        <w:rPr>
          <w:rFonts w:ascii="Arial" w:hAnsi="Arial" w:cs="Arial"/>
          <w:sz w:val="20"/>
          <w:szCs w:val="20"/>
        </w:rPr>
        <w:t>.</w:t>
      </w:r>
    </w:p>
    <w:p w:rsidR="00AB071B" w:rsidRDefault="00AB071B" w:rsidP="008B07AF">
      <w:pPr>
        <w:ind w:left="270"/>
        <w:rPr>
          <w:rFonts w:ascii="Arial" w:hAnsi="Arial" w:cs="Arial"/>
          <w:sz w:val="20"/>
          <w:szCs w:val="20"/>
        </w:rPr>
      </w:pPr>
    </w:p>
    <w:p w:rsidR="007A21B3" w:rsidRDefault="007A21B3" w:rsidP="008B07AF">
      <w:pPr>
        <w:ind w:left="270"/>
        <w:rPr>
          <w:rFonts w:ascii="Arial" w:hAnsi="Arial" w:cs="Arial"/>
          <w:sz w:val="20"/>
          <w:szCs w:val="20"/>
        </w:rPr>
      </w:pPr>
      <w:r>
        <w:rPr>
          <w:rFonts w:ascii="Arial" w:hAnsi="Arial" w:cs="Arial"/>
          <w:sz w:val="20"/>
          <w:szCs w:val="20"/>
        </w:rPr>
        <w:t xml:space="preserve">SAC has updated its “Scholarship Procedures” document to incorporate changes </w:t>
      </w:r>
      <w:r w:rsidR="00C3424D">
        <w:rPr>
          <w:rFonts w:ascii="Arial" w:hAnsi="Arial" w:cs="Arial"/>
          <w:sz w:val="20"/>
          <w:szCs w:val="20"/>
        </w:rPr>
        <w:t xml:space="preserve">and institute improvements that became apparent in 2012-2013.  </w:t>
      </w:r>
      <w:r>
        <w:rPr>
          <w:rFonts w:ascii="Arial" w:hAnsi="Arial" w:cs="Arial"/>
          <w:sz w:val="20"/>
          <w:szCs w:val="20"/>
        </w:rPr>
        <w:t xml:space="preserve"> </w:t>
      </w:r>
    </w:p>
    <w:p w:rsidR="00FB71A8" w:rsidRDefault="00FB71A8" w:rsidP="00BC7281">
      <w:pPr>
        <w:rPr>
          <w:rFonts w:ascii="Arial" w:hAnsi="Arial" w:cs="Arial"/>
          <w:sz w:val="20"/>
          <w:szCs w:val="20"/>
        </w:rPr>
      </w:pPr>
    </w:p>
    <w:p w:rsidR="00926F55" w:rsidRPr="00926F55" w:rsidRDefault="00926F55" w:rsidP="008B07AF">
      <w:pPr>
        <w:ind w:left="270" w:hanging="270"/>
        <w:rPr>
          <w:rFonts w:ascii="Arial" w:hAnsi="Arial" w:cs="Arial"/>
          <w:sz w:val="20"/>
          <w:szCs w:val="20"/>
        </w:rPr>
      </w:pPr>
      <w:r>
        <w:rPr>
          <w:b/>
          <w:i/>
        </w:rPr>
        <w:t>4</w:t>
      </w:r>
      <w:r w:rsidRPr="00926F55">
        <w:rPr>
          <w:b/>
          <w:i/>
        </w:rPr>
        <w:t>.</w:t>
      </w:r>
      <w:r>
        <w:rPr>
          <w:b/>
          <w:i/>
        </w:rPr>
        <w:t xml:space="preserve"> </w:t>
      </w:r>
      <w:r w:rsidR="00C211A4" w:rsidRPr="00945450">
        <w:rPr>
          <w:rFonts w:ascii="Arial" w:hAnsi="Arial" w:cs="Arial"/>
          <w:b/>
          <w:i/>
          <w:sz w:val="20"/>
          <w:szCs w:val="20"/>
        </w:rPr>
        <w:t>Complete annual report of activities (including 2011-2012) for review by the executive committee</w:t>
      </w:r>
      <w:r w:rsidRPr="00945450">
        <w:rPr>
          <w:rFonts w:ascii="Arial" w:hAnsi="Arial" w:cs="Arial"/>
          <w:b/>
          <w:i/>
          <w:sz w:val="20"/>
          <w:szCs w:val="20"/>
        </w:rPr>
        <w:t>.</w:t>
      </w:r>
      <w:r>
        <w:t xml:space="preserve">  </w:t>
      </w:r>
      <w:r w:rsidR="00C211A4">
        <w:rPr>
          <w:rFonts w:ascii="Arial" w:hAnsi="Arial" w:cs="Arial"/>
          <w:sz w:val="20"/>
          <w:szCs w:val="20"/>
        </w:rPr>
        <w:t xml:space="preserve">The report was </w:t>
      </w:r>
      <w:r w:rsidR="00C211A4" w:rsidRPr="00B64971">
        <w:rPr>
          <w:rFonts w:ascii="Arial" w:hAnsi="Arial" w:cs="Arial"/>
          <w:sz w:val="20"/>
          <w:szCs w:val="20"/>
        </w:rPr>
        <w:t>submitted on</w:t>
      </w:r>
      <w:r w:rsidR="00B64971">
        <w:rPr>
          <w:rFonts w:ascii="Arial" w:hAnsi="Arial" w:cs="Arial"/>
          <w:sz w:val="20"/>
          <w:szCs w:val="20"/>
        </w:rPr>
        <w:t xml:space="preserve"> May 15, 2013.</w:t>
      </w:r>
    </w:p>
    <w:p w:rsidR="008B07AF" w:rsidRDefault="008B07AF" w:rsidP="00BC7281"/>
    <w:p w:rsidR="00FB71A8" w:rsidRPr="00C3424D" w:rsidRDefault="00FB71A8" w:rsidP="00BC7281">
      <w:pPr>
        <w:rPr>
          <w:rFonts w:ascii="Arial" w:hAnsi="Arial" w:cs="Arial"/>
          <w:caps/>
          <w:sz w:val="20"/>
          <w:szCs w:val="20"/>
        </w:rPr>
      </w:pPr>
      <w:r w:rsidRPr="00C3424D">
        <w:rPr>
          <w:rFonts w:ascii="Arial" w:hAnsi="Arial" w:cs="Arial"/>
          <w:b/>
          <w:sz w:val="20"/>
          <w:szCs w:val="20"/>
        </w:rPr>
        <w:t>Charges Left Over from 2011-2012</w:t>
      </w:r>
    </w:p>
    <w:p w:rsidR="00FB71A8" w:rsidRDefault="00FB71A8" w:rsidP="00BC7281"/>
    <w:p w:rsidR="00F661BF" w:rsidRPr="00B40BA4" w:rsidRDefault="00FB71A8" w:rsidP="00D92396">
      <w:pPr>
        <w:pStyle w:val="ListParagraph"/>
        <w:spacing w:after="100" w:afterAutospacing="1"/>
        <w:ind w:left="270" w:hanging="270"/>
        <w:rPr>
          <w:rFonts w:ascii="Arial" w:hAnsi="Arial" w:cs="Arial"/>
          <w:sz w:val="20"/>
          <w:szCs w:val="20"/>
        </w:rPr>
      </w:pPr>
      <w:r>
        <w:rPr>
          <w:b/>
          <w:i/>
        </w:rPr>
        <w:t>1</w:t>
      </w:r>
      <w:r w:rsidR="00A21E65" w:rsidRPr="00A21E65">
        <w:rPr>
          <w:b/>
          <w:i/>
        </w:rPr>
        <w:t xml:space="preserve">. </w:t>
      </w:r>
      <w:r w:rsidRPr="00945450">
        <w:rPr>
          <w:rFonts w:ascii="Arial" w:hAnsi="Arial" w:cs="Arial"/>
          <w:b/>
          <w:i/>
          <w:sz w:val="20"/>
          <w:szCs w:val="20"/>
        </w:rPr>
        <w:t>Examine the Summer School policy for tuition &amp; fee requirements for students taking courses.  Determine whether a single “bracketed fee” structure is feasible in summer as it is in the fall and winter.  The committee feels it is in the best interests of the students to offer the bracketed fee structure as a third semester.  Students’ having the opportunity to take 6-12 hours is in line with the strategic goals of the university.</w:t>
      </w:r>
      <w:r w:rsidRPr="00993CB2">
        <w:t xml:space="preserve">  </w:t>
      </w:r>
      <w:r w:rsidR="00A21E65" w:rsidRPr="008E277F">
        <w:rPr>
          <w:rFonts w:ascii="Arial" w:hAnsi="Arial" w:cs="Arial"/>
          <w:sz w:val="20"/>
          <w:szCs w:val="20"/>
        </w:rPr>
        <w:t xml:space="preserve"> </w:t>
      </w:r>
      <w:r w:rsidR="00F661BF" w:rsidRPr="00B40BA4">
        <w:rPr>
          <w:rFonts w:ascii="Arial" w:hAnsi="Arial" w:cs="Arial"/>
          <w:sz w:val="20"/>
          <w:szCs w:val="20"/>
        </w:rPr>
        <w:t xml:space="preserve">Anderson reported that another Faculty Senate committee was investigating alternative summer term arrangements. Coldren reported that the Board of Trustees approved a new summer undergraduate student fee schedule that will begin with the 2013 Summer I and Summer II terms (see attachment “Coldren email”). </w:t>
      </w:r>
      <w:r w:rsidR="00F661BF" w:rsidRPr="00B64971">
        <w:rPr>
          <w:rFonts w:ascii="Arial" w:hAnsi="Arial" w:cs="Arial"/>
          <w:b/>
          <w:sz w:val="20"/>
          <w:szCs w:val="20"/>
        </w:rPr>
        <w:t xml:space="preserve">Jakaitis moved suspension of the charge. Anderson seconded. </w:t>
      </w:r>
      <w:r w:rsidR="00F661BF" w:rsidRPr="00B40BA4">
        <w:rPr>
          <w:rFonts w:ascii="Arial" w:hAnsi="Arial" w:cs="Arial"/>
          <w:b/>
          <w:sz w:val="20"/>
          <w:szCs w:val="20"/>
        </w:rPr>
        <w:t>Motion passed 6-0-0</w:t>
      </w:r>
      <w:r w:rsidR="00F661BF" w:rsidRPr="00B40BA4">
        <w:rPr>
          <w:rFonts w:ascii="Arial" w:hAnsi="Arial" w:cs="Arial"/>
          <w:sz w:val="20"/>
          <w:szCs w:val="20"/>
        </w:rPr>
        <w:t>.</w:t>
      </w:r>
    </w:p>
    <w:p w:rsidR="00A21E65" w:rsidRPr="005304D6" w:rsidRDefault="00F661BF" w:rsidP="00D92396">
      <w:pPr>
        <w:ind w:left="270" w:hanging="270"/>
        <w:rPr>
          <w:rFonts w:ascii="Arial" w:hAnsi="Arial" w:cs="Arial"/>
          <w:sz w:val="20"/>
          <w:szCs w:val="20"/>
        </w:rPr>
      </w:pPr>
      <w:r>
        <w:rPr>
          <w:b/>
          <w:i/>
        </w:rPr>
        <w:t>2</w:t>
      </w:r>
      <w:r w:rsidR="00A21E65" w:rsidRPr="00A21E65">
        <w:rPr>
          <w:b/>
          <w:i/>
        </w:rPr>
        <w:t xml:space="preserve">. </w:t>
      </w:r>
      <w:r w:rsidRPr="00945450">
        <w:rPr>
          <w:rFonts w:ascii="Arial" w:hAnsi="Arial" w:cs="Arial"/>
          <w:b/>
          <w:i/>
          <w:sz w:val="20"/>
          <w:szCs w:val="20"/>
        </w:rPr>
        <w:t>Continue to investigate the relationship and balance between fiscal health and academic standards</w:t>
      </w:r>
      <w:r w:rsidR="00A21E65" w:rsidRPr="00945450">
        <w:rPr>
          <w:rFonts w:ascii="Arial" w:hAnsi="Arial" w:cs="Arial"/>
          <w:b/>
          <w:i/>
          <w:sz w:val="20"/>
          <w:szCs w:val="20"/>
        </w:rPr>
        <w:t>.</w:t>
      </w:r>
      <w:r w:rsidR="00A21E65">
        <w:t xml:space="preserve">  </w:t>
      </w:r>
      <w:r w:rsidR="00B64971" w:rsidRPr="00B64971">
        <w:rPr>
          <w:rFonts w:ascii="Arial" w:hAnsi="Arial" w:cs="Arial"/>
          <w:sz w:val="20"/>
          <w:szCs w:val="20"/>
        </w:rPr>
        <w:t>Associate Vice-President</w:t>
      </w:r>
      <w:r w:rsidR="00B64971">
        <w:t xml:space="preserve"> </w:t>
      </w:r>
      <w:r w:rsidRPr="00F661BF">
        <w:rPr>
          <w:rFonts w:ascii="Arial" w:hAnsi="Arial" w:cs="Arial"/>
          <w:sz w:val="20"/>
          <w:szCs w:val="20"/>
        </w:rPr>
        <w:t>J.</w:t>
      </w:r>
      <w:r>
        <w:t xml:space="preserve"> </w:t>
      </w:r>
      <w:r w:rsidRPr="00B40BA4">
        <w:rPr>
          <w:rFonts w:ascii="Arial" w:hAnsi="Arial" w:cs="Arial"/>
          <w:sz w:val="20"/>
          <w:szCs w:val="20"/>
        </w:rPr>
        <w:t>Powers and Toomey suppl</w:t>
      </w:r>
      <w:r>
        <w:rPr>
          <w:rFonts w:ascii="Arial" w:hAnsi="Arial" w:cs="Arial"/>
          <w:sz w:val="20"/>
          <w:szCs w:val="20"/>
        </w:rPr>
        <w:t>ied</w:t>
      </w:r>
      <w:r w:rsidRPr="00B40BA4">
        <w:rPr>
          <w:rFonts w:ascii="Arial" w:hAnsi="Arial" w:cs="Arial"/>
          <w:sz w:val="20"/>
          <w:szCs w:val="20"/>
        </w:rPr>
        <w:t xml:space="preserve"> SAC members with a profile of the student community at ISU. </w:t>
      </w:r>
      <w:r w:rsidRPr="00B64971">
        <w:rPr>
          <w:rFonts w:ascii="Arial" w:hAnsi="Arial" w:cs="Arial"/>
          <w:b/>
          <w:sz w:val="20"/>
          <w:szCs w:val="20"/>
        </w:rPr>
        <w:t>Toomey moved suspension of the charge. Anderson seconded.</w:t>
      </w:r>
      <w:r w:rsidRPr="00B40BA4">
        <w:rPr>
          <w:rFonts w:ascii="Arial" w:hAnsi="Arial" w:cs="Arial"/>
          <w:sz w:val="20"/>
          <w:szCs w:val="20"/>
        </w:rPr>
        <w:t xml:space="preserve"> </w:t>
      </w:r>
      <w:r w:rsidRPr="00B40BA4">
        <w:rPr>
          <w:rFonts w:ascii="Arial" w:hAnsi="Arial" w:cs="Arial"/>
          <w:b/>
          <w:sz w:val="20"/>
          <w:szCs w:val="20"/>
        </w:rPr>
        <w:t>Motion passed 6-0-0</w:t>
      </w:r>
      <w:r w:rsidRPr="00B40BA4">
        <w:rPr>
          <w:rFonts w:ascii="Arial" w:hAnsi="Arial" w:cs="Arial"/>
          <w:sz w:val="20"/>
          <w:szCs w:val="20"/>
        </w:rPr>
        <w:t>.</w:t>
      </w:r>
    </w:p>
    <w:p w:rsidR="00A21E65" w:rsidRDefault="00A21E65" w:rsidP="00D92396">
      <w:pPr>
        <w:ind w:left="270" w:hanging="270"/>
      </w:pPr>
    </w:p>
    <w:p w:rsidR="00301941" w:rsidRPr="00301941" w:rsidRDefault="00F661BF" w:rsidP="00D92396">
      <w:pPr>
        <w:autoSpaceDE w:val="0"/>
        <w:autoSpaceDN w:val="0"/>
        <w:adjustRightInd w:val="0"/>
        <w:ind w:left="270" w:hanging="270"/>
        <w:rPr>
          <w:rFonts w:ascii="Arial" w:hAnsi="Arial" w:cs="Arial"/>
          <w:sz w:val="20"/>
          <w:szCs w:val="20"/>
        </w:rPr>
      </w:pPr>
      <w:r>
        <w:rPr>
          <w:b/>
          <w:i/>
        </w:rPr>
        <w:t>3</w:t>
      </w:r>
      <w:r w:rsidR="005304D6" w:rsidRPr="005304D6">
        <w:rPr>
          <w:b/>
          <w:i/>
        </w:rPr>
        <w:t xml:space="preserve">. </w:t>
      </w:r>
      <w:r w:rsidRPr="00945450">
        <w:rPr>
          <w:rFonts w:ascii="Arial" w:hAnsi="Arial" w:cs="Arial"/>
          <w:b/>
          <w:i/>
          <w:sz w:val="20"/>
          <w:szCs w:val="20"/>
        </w:rPr>
        <w:t>Undertake a review of current rules governing course evaluation policies and practices at department and college levels.</w:t>
      </w:r>
      <w:r>
        <w:t xml:space="preserve">  </w:t>
      </w:r>
      <w:r w:rsidR="00C05DE1">
        <w:rPr>
          <w:rFonts w:ascii="Arial" w:hAnsi="Arial" w:cs="Arial"/>
          <w:sz w:val="20"/>
          <w:szCs w:val="20"/>
        </w:rPr>
        <w:t>Susan Powers gave an overview of evaluative</w:t>
      </w:r>
      <w:r w:rsidR="004E24DE">
        <w:rPr>
          <w:rFonts w:ascii="Arial" w:hAnsi="Arial" w:cs="Arial"/>
          <w:sz w:val="20"/>
          <w:szCs w:val="20"/>
        </w:rPr>
        <w:t xml:space="preserve"> </w:t>
      </w:r>
      <w:r w:rsidR="00C05DE1">
        <w:rPr>
          <w:rFonts w:ascii="Arial" w:hAnsi="Arial" w:cs="Arial"/>
          <w:sz w:val="20"/>
          <w:szCs w:val="20"/>
        </w:rPr>
        <w:t xml:space="preserve">products under consideration for the SIR replacement. Buffington appointed a subcommittee to work with Powers and report back to SAC in January. Members are: Jeff Hauser (chair), </w:t>
      </w:r>
      <w:r w:rsidR="00B64971">
        <w:rPr>
          <w:rFonts w:ascii="Arial" w:hAnsi="Arial" w:cs="Arial"/>
          <w:sz w:val="20"/>
          <w:szCs w:val="20"/>
        </w:rPr>
        <w:t xml:space="preserve">Associate Vice-President </w:t>
      </w:r>
      <w:r w:rsidR="00C05DE1">
        <w:rPr>
          <w:rFonts w:ascii="Arial" w:hAnsi="Arial" w:cs="Arial"/>
          <w:sz w:val="20"/>
          <w:szCs w:val="20"/>
        </w:rPr>
        <w:t xml:space="preserve">Josh Powers, </w:t>
      </w:r>
      <w:r w:rsidR="00B64971">
        <w:rPr>
          <w:rFonts w:ascii="Arial" w:hAnsi="Arial" w:cs="Arial"/>
          <w:sz w:val="20"/>
          <w:szCs w:val="20"/>
        </w:rPr>
        <w:t xml:space="preserve">Associate Vice-President </w:t>
      </w:r>
      <w:r w:rsidR="00C05DE1">
        <w:rPr>
          <w:rFonts w:ascii="Arial" w:hAnsi="Arial" w:cs="Arial"/>
          <w:sz w:val="20"/>
          <w:szCs w:val="20"/>
        </w:rPr>
        <w:t xml:space="preserve">Susan Powers, and Kevin Bolinger.  The University formed a task force in fall 2012 to recommend the adoption of an appropriate assessment tool, and SAC requested to be updated on the task force’s progress.  In February, SAC authorized the Subcommittee to </w:t>
      </w:r>
      <w:r w:rsidR="00C05DE1" w:rsidRPr="00301941">
        <w:rPr>
          <w:rFonts w:ascii="Arial" w:hAnsi="Arial" w:cs="Arial"/>
          <w:sz w:val="20"/>
          <w:szCs w:val="20"/>
        </w:rPr>
        <w:t>send a pilot survey regarding course</w:t>
      </w:r>
      <w:r w:rsidR="00301941">
        <w:rPr>
          <w:rFonts w:ascii="Arial" w:hAnsi="Arial" w:cs="Arial"/>
          <w:sz w:val="20"/>
          <w:szCs w:val="20"/>
        </w:rPr>
        <w:t xml:space="preserve"> evaluations to all in attendance</w:t>
      </w:r>
      <w:r w:rsidR="00C05DE1" w:rsidRPr="00301941">
        <w:rPr>
          <w:rFonts w:ascii="Arial" w:hAnsi="Arial" w:cs="Arial"/>
          <w:sz w:val="20"/>
          <w:szCs w:val="20"/>
        </w:rPr>
        <w:t xml:space="preserve">. </w:t>
      </w:r>
      <w:r w:rsidR="00301941">
        <w:rPr>
          <w:rFonts w:ascii="Arial" w:hAnsi="Arial" w:cs="Arial"/>
          <w:sz w:val="20"/>
          <w:szCs w:val="20"/>
        </w:rPr>
        <w:t xml:space="preserve">In March, SAC learned that </w:t>
      </w:r>
      <w:r w:rsidR="00301941" w:rsidRPr="00301941">
        <w:rPr>
          <w:rFonts w:ascii="Arial" w:hAnsi="Arial" w:cs="Arial"/>
          <w:sz w:val="20"/>
          <w:szCs w:val="20"/>
        </w:rPr>
        <w:t>Provost Maynard ha</w:t>
      </w:r>
      <w:r w:rsidR="00301941">
        <w:rPr>
          <w:rFonts w:ascii="Arial" w:hAnsi="Arial" w:cs="Arial"/>
          <w:sz w:val="20"/>
          <w:szCs w:val="20"/>
        </w:rPr>
        <w:t>d</w:t>
      </w:r>
      <w:r w:rsidR="00301941" w:rsidRPr="00301941">
        <w:rPr>
          <w:rFonts w:ascii="Arial" w:hAnsi="Arial" w:cs="Arial"/>
          <w:sz w:val="20"/>
          <w:szCs w:val="20"/>
        </w:rPr>
        <w:t xml:space="preserve"> directed Associate Vice President </w:t>
      </w:r>
      <w:r w:rsidR="00B64971">
        <w:rPr>
          <w:rFonts w:ascii="Arial" w:hAnsi="Arial" w:cs="Arial"/>
          <w:sz w:val="20"/>
          <w:szCs w:val="20"/>
        </w:rPr>
        <w:t xml:space="preserve">S. </w:t>
      </w:r>
      <w:r w:rsidR="00301941" w:rsidRPr="00301941">
        <w:rPr>
          <w:rFonts w:ascii="Arial" w:hAnsi="Arial" w:cs="Arial"/>
          <w:sz w:val="20"/>
          <w:szCs w:val="20"/>
        </w:rPr>
        <w:t xml:space="preserve">Powers to arrange for on-campus visits/demonstrations by course assessment vendors. She </w:t>
      </w:r>
      <w:r w:rsidR="00301941">
        <w:rPr>
          <w:rFonts w:ascii="Arial" w:hAnsi="Arial" w:cs="Arial"/>
          <w:sz w:val="20"/>
          <w:szCs w:val="20"/>
        </w:rPr>
        <w:t>was directed to</w:t>
      </w:r>
      <w:r w:rsidR="00301941" w:rsidRPr="00301941">
        <w:rPr>
          <w:rFonts w:ascii="Arial" w:hAnsi="Arial" w:cs="Arial"/>
          <w:sz w:val="20"/>
          <w:szCs w:val="20"/>
        </w:rPr>
        <w:t xml:space="preserve"> conduct a fact-finding survey among all instructors.</w:t>
      </w:r>
      <w:r w:rsidR="00301941">
        <w:rPr>
          <w:rFonts w:ascii="Arial" w:hAnsi="Arial" w:cs="Arial"/>
          <w:sz w:val="20"/>
          <w:szCs w:val="20"/>
        </w:rPr>
        <w:t xml:space="preserve">  In April, SAC recommended that the </w:t>
      </w:r>
      <w:r w:rsidR="00301941" w:rsidRPr="00301941">
        <w:rPr>
          <w:rFonts w:ascii="Arial" w:hAnsi="Arial" w:cs="Arial"/>
          <w:sz w:val="20"/>
          <w:szCs w:val="20"/>
        </w:rPr>
        <w:t xml:space="preserve">Faculty Senate hold the charge of undertaking a review of current rules governing evaluation policies and practices at department and college levels for SAC action next year. </w:t>
      </w:r>
      <w:r w:rsidR="00301941">
        <w:rPr>
          <w:rFonts w:ascii="Arial" w:hAnsi="Arial" w:cs="Arial"/>
          <w:sz w:val="20"/>
          <w:szCs w:val="20"/>
        </w:rPr>
        <w:t>It is anticipated</w:t>
      </w:r>
      <w:r w:rsidR="00301941" w:rsidRPr="00301941">
        <w:rPr>
          <w:rFonts w:ascii="Arial" w:hAnsi="Arial" w:cs="Arial"/>
          <w:sz w:val="20"/>
          <w:szCs w:val="20"/>
        </w:rPr>
        <w:t xml:space="preserve"> </w:t>
      </w:r>
      <w:r w:rsidR="00301941">
        <w:rPr>
          <w:rFonts w:ascii="Arial" w:hAnsi="Arial" w:cs="Arial"/>
          <w:sz w:val="20"/>
          <w:szCs w:val="20"/>
        </w:rPr>
        <w:t>that</w:t>
      </w:r>
      <w:r w:rsidR="00301941" w:rsidRPr="00301941">
        <w:rPr>
          <w:rFonts w:ascii="Arial" w:hAnsi="Arial" w:cs="Arial"/>
          <w:sz w:val="20"/>
          <w:szCs w:val="20"/>
        </w:rPr>
        <w:t xml:space="preserve"> any surveys and input from AAUP forums </w:t>
      </w:r>
      <w:r w:rsidR="00301941">
        <w:rPr>
          <w:rFonts w:ascii="Arial" w:hAnsi="Arial" w:cs="Arial"/>
          <w:sz w:val="20"/>
          <w:szCs w:val="20"/>
        </w:rPr>
        <w:t xml:space="preserve">will be taken into </w:t>
      </w:r>
      <w:r w:rsidR="00301941" w:rsidRPr="00301941">
        <w:rPr>
          <w:rFonts w:ascii="Arial" w:hAnsi="Arial" w:cs="Arial"/>
          <w:sz w:val="20"/>
          <w:szCs w:val="20"/>
        </w:rPr>
        <w:t xml:space="preserve">consideration </w:t>
      </w:r>
      <w:r w:rsidR="00301941">
        <w:rPr>
          <w:rFonts w:ascii="Arial" w:hAnsi="Arial" w:cs="Arial"/>
          <w:sz w:val="20"/>
          <w:szCs w:val="20"/>
        </w:rPr>
        <w:t>as the task force continues its work.</w:t>
      </w:r>
    </w:p>
    <w:p w:rsidR="00C05DE1" w:rsidRPr="00301941" w:rsidRDefault="00C05DE1" w:rsidP="00301941">
      <w:pPr>
        <w:rPr>
          <w:rFonts w:ascii="Arial" w:hAnsi="Arial" w:cs="Arial"/>
          <w:sz w:val="20"/>
          <w:szCs w:val="20"/>
        </w:rPr>
      </w:pPr>
    </w:p>
    <w:p w:rsidR="0012323D" w:rsidRDefault="00301941" w:rsidP="00B64971">
      <w:pPr>
        <w:ind w:left="270" w:hanging="270"/>
      </w:pPr>
      <w:r w:rsidRPr="00945450">
        <w:rPr>
          <w:rFonts w:asciiTheme="minorHAnsi" w:hAnsiTheme="minorHAnsi"/>
          <w:b/>
          <w:sz w:val="20"/>
          <w:szCs w:val="20"/>
        </w:rPr>
        <w:t>4</w:t>
      </w:r>
      <w:r w:rsidR="000F289F" w:rsidRPr="00945450">
        <w:rPr>
          <w:rFonts w:asciiTheme="minorHAnsi" w:hAnsiTheme="minorHAnsi"/>
          <w:b/>
          <w:sz w:val="20"/>
          <w:szCs w:val="20"/>
        </w:rPr>
        <w:t xml:space="preserve">. </w:t>
      </w:r>
      <w:r w:rsidRPr="00945450">
        <w:rPr>
          <w:rFonts w:ascii="Arial" w:hAnsi="Arial" w:cs="Arial"/>
          <w:b/>
          <w:i/>
          <w:sz w:val="20"/>
          <w:szCs w:val="20"/>
        </w:rPr>
        <w:t xml:space="preserve">WP/WF Policy: Should WF grades be retained, and if they are retained, whether </w:t>
      </w:r>
      <w:r w:rsidR="00B64971">
        <w:rPr>
          <w:rFonts w:ascii="Arial" w:hAnsi="Arial" w:cs="Arial"/>
          <w:b/>
          <w:i/>
          <w:sz w:val="20"/>
          <w:szCs w:val="20"/>
        </w:rPr>
        <w:t xml:space="preserve">they </w:t>
      </w:r>
      <w:r w:rsidRPr="00945450">
        <w:rPr>
          <w:rFonts w:ascii="Arial" w:hAnsi="Arial" w:cs="Arial"/>
          <w:b/>
          <w:i/>
          <w:sz w:val="20"/>
          <w:szCs w:val="20"/>
        </w:rPr>
        <w:t>should impact the GPA</w:t>
      </w:r>
      <w:r w:rsidR="000F289F" w:rsidRPr="00945450">
        <w:rPr>
          <w:rFonts w:ascii="Arial" w:hAnsi="Arial" w:cs="Arial"/>
          <w:b/>
          <w:i/>
          <w:sz w:val="20"/>
          <w:szCs w:val="20"/>
        </w:rPr>
        <w:t>.</w:t>
      </w:r>
      <w:r w:rsidR="000F289F">
        <w:rPr>
          <w:b/>
          <w:i/>
        </w:rPr>
        <w:t xml:space="preserve"> </w:t>
      </w:r>
      <w:r w:rsidR="000F289F">
        <w:rPr>
          <w:rFonts w:ascii="Arial" w:hAnsi="Arial" w:cs="Arial"/>
          <w:sz w:val="20"/>
          <w:szCs w:val="20"/>
        </w:rPr>
        <w:t xml:space="preserve"> </w:t>
      </w:r>
      <w:r w:rsidR="00660003" w:rsidRPr="00B40BA4">
        <w:rPr>
          <w:rFonts w:ascii="Arial" w:hAnsi="Arial" w:cs="Arial"/>
          <w:sz w:val="20"/>
          <w:szCs w:val="20"/>
        </w:rPr>
        <w:t xml:space="preserve">A subcommittee consisting of Thacker, Jakaitis, Coldren, </w:t>
      </w:r>
      <w:r w:rsidR="00B64971">
        <w:rPr>
          <w:rFonts w:ascii="Arial" w:hAnsi="Arial" w:cs="Arial"/>
          <w:sz w:val="20"/>
          <w:szCs w:val="20"/>
        </w:rPr>
        <w:t xml:space="preserve">J. </w:t>
      </w:r>
      <w:r w:rsidR="00660003" w:rsidRPr="00B40BA4">
        <w:rPr>
          <w:rFonts w:ascii="Arial" w:hAnsi="Arial" w:cs="Arial"/>
          <w:sz w:val="20"/>
          <w:szCs w:val="20"/>
        </w:rPr>
        <w:t>Powers, and Waldron assume</w:t>
      </w:r>
      <w:r w:rsidR="00660003">
        <w:rPr>
          <w:rFonts w:ascii="Arial" w:hAnsi="Arial" w:cs="Arial"/>
          <w:sz w:val="20"/>
          <w:szCs w:val="20"/>
        </w:rPr>
        <w:t>d</w:t>
      </w:r>
      <w:r w:rsidR="00660003" w:rsidRPr="00B40BA4">
        <w:rPr>
          <w:rFonts w:ascii="Arial" w:hAnsi="Arial" w:cs="Arial"/>
          <w:sz w:val="20"/>
          <w:szCs w:val="20"/>
        </w:rPr>
        <w:t xml:space="preserve"> responsibility of th</w:t>
      </w:r>
      <w:r w:rsidR="00660003">
        <w:rPr>
          <w:rFonts w:ascii="Arial" w:hAnsi="Arial" w:cs="Arial"/>
          <w:sz w:val="20"/>
          <w:szCs w:val="20"/>
        </w:rPr>
        <w:t>is</w:t>
      </w:r>
      <w:r w:rsidR="00660003" w:rsidRPr="00B40BA4">
        <w:rPr>
          <w:rFonts w:ascii="Arial" w:hAnsi="Arial" w:cs="Arial"/>
          <w:sz w:val="20"/>
          <w:szCs w:val="20"/>
        </w:rPr>
        <w:t xml:space="preserve"> </w:t>
      </w:r>
      <w:r w:rsidR="00660003" w:rsidRPr="00D92396">
        <w:rPr>
          <w:rFonts w:ascii="Arial" w:hAnsi="Arial" w:cs="Arial"/>
          <w:sz w:val="20"/>
          <w:szCs w:val="20"/>
        </w:rPr>
        <w:t>charge</w:t>
      </w:r>
      <w:r w:rsidR="00660003" w:rsidRPr="0090371D">
        <w:rPr>
          <w:rFonts w:ascii="Arial" w:hAnsi="Arial" w:cs="Arial"/>
          <w:sz w:val="20"/>
          <w:szCs w:val="20"/>
        </w:rPr>
        <w:t xml:space="preserve"> </w:t>
      </w:r>
      <w:proofErr w:type="gramStart"/>
      <w:r w:rsidR="0012323D" w:rsidRPr="0012323D">
        <w:rPr>
          <w:rFonts w:ascii="Arial" w:hAnsi="Arial" w:cs="Arial"/>
          <w:sz w:val="20"/>
          <w:szCs w:val="20"/>
        </w:rPr>
        <w:t>The</w:t>
      </w:r>
      <w:proofErr w:type="gramEnd"/>
      <w:r w:rsidR="0012323D" w:rsidRPr="0012323D">
        <w:rPr>
          <w:rFonts w:ascii="Arial" w:hAnsi="Arial" w:cs="Arial"/>
          <w:sz w:val="20"/>
          <w:szCs w:val="20"/>
        </w:rPr>
        <w:t xml:space="preserve"> subcommittee met on October 25 to discuss the recommendation from Susan Powers in the Office of the Provost and Vice-President for Academic Affairs regarding WP and WF grades. </w:t>
      </w:r>
      <w:r w:rsidR="001A7DE6">
        <w:rPr>
          <w:rFonts w:ascii="Arial" w:hAnsi="Arial" w:cs="Arial"/>
          <w:sz w:val="20"/>
          <w:szCs w:val="20"/>
        </w:rPr>
        <w:t>The received</w:t>
      </w:r>
      <w:r w:rsidR="0012323D" w:rsidRPr="0012323D">
        <w:rPr>
          <w:rFonts w:ascii="Arial" w:hAnsi="Arial" w:cs="Arial"/>
          <w:sz w:val="20"/>
          <w:szCs w:val="20"/>
        </w:rPr>
        <w:t xml:space="preserve"> recommendation:</w:t>
      </w:r>
    </w:p>
    <w:p w:rsidR="0012323D" w:rsidRDefault="0012323D" w:rsidP="0012323D"/>
    <w:p w:rsidR="0012323D" w:rsidRPr="001A7DE6" w:rsidRDefault="0012323D" w:rsidP="0012323D">
      <w:pPr>
        <w:ind w:left="630"/>
        <w:rPr>
          <w:rFonts w:ascii="Arial" w:hAnsi="Arial" w:cs="Arial"/>
          <w:sz w:val="20"/>
          <w:szCs w:val="20"/>
        </w:rPr>
      </w:pPr>
      <w:r w:rsidRPr="001A7DE6">
        <w:rPr>
          <w:rFonts w:ascii="Arial" w:hAnsi="Arial" w:cs="Arial"/>
          <w:sz w:val="20"/>
          <w:szCs w:val="20"/>
        </w:rPr>
        <w:t xml:space="preserve">We propose that effective </w:t>
      </w:r>
      <w:proofErr w:type="gramStart"/>
      <w:r w:rsidRPr="001A7DE6">
        <w:rPr>
          <w:rFonts w:ascii="Arial" w:hAnsi="Arial" w:cs="Arial"/>
          <w:sz w:val="20"/>
          <w:szCs w:val="20"/>
        </w:rPr>
        <w:t>Fall</w:t>
      </w:r>
      <w:proofErr w:type="gramEnd"/>
      <w:r w:rsidRPr="001A7DE6">
        <w:rPr>
          <w:rFonts w:ascii="Arial" w:hAnsi="Arial" w:cs="Arial"/>
          <w:sz w:val="20"/>
          <w:szCs w:val="20"/>
        </w:rPr>
        <w:t xml:space="preserve"> 2013, the WF remain as a grade option and appear on the transcript, but quality points (0.0) are not awarded and therefore not factored into the student GPA for both graduate and undergraduate students.</w:t>
      </w:r>
    </w:p>
    <w:p w:rsidR="0012323D" w:rsidRDefault="0012323D" w:rsidP="0012323D"/>
    <w:p w:rsidR="0012323D" w:rsidRPr="001A7DE6" w:rsidRDefault="0012323D" w:rsidP="004F3755">
      <w:pPr>
        <w:ind w:left="270"/>
        <w:rPr>
          <w:rFonts w:ascii="Arial" w:hAnsi="Arial" w:cs="Arial"/>
          <w:sz w:val="20"/>
          <w:szCs w:val="20"/>
        </w:rPr>
      </w:pPr>
      <w:r w:rsidRPr="001A7DE6">
        <w:rPr>
          <w:rFonts w:ascii="Arial" w:hAnsi="Arial" w:cs="Arial"/>
          <w:sz w:val="20"/>
          <w:szCs w:val="20"/>
        </w:rPr>
        <w:lastRenderedPageBreak/>
        <w:t>Our charge was to review the recommendation and approve, modify, or reject it.</w:t>
      </w:r>
    </w:p>
    <w:p w:rsidR="0012323D" w:rsidRDefault="0012323D" w:rsidP="0012323D"/>
    <w:p w:rsidR="0012323D" w:rsidRPr="001A7DE6" w:rsidRDefault="0012323D" w:rsidP="004F3755">
      <w:pPr>
        <w:ind w:left="270"/>
        <w:rPr>
          <w:rFonts w:ascii="Arial" w:hAnsi="Arial" w:cs="Arial"/>
          <w:sz w:val="20"/>
          <w:szCs w:val="20"/>
        </w:rPr>
      </w:pPr>
      <w:r w:rsidRPr="001A7DE6">
        <w:rPr>
          <w:rFonts w:ascii="Arial" w:hAnsi="Arial" w:cs="Arial"/>
          <w:sz w:val="20"/>
          <w:szCs w:val="20"/>
        </w:rPr>
        <w:t xml:space="preserve">After reviewing the withdrawal grade policies of our 19 peer institutions as well as those of Ball State University, Indiana University, IUPUI, and the University of Southern Indiana </w:t>
      </w:r>
      <w:r w:rsidR="001A7DE6" w:rsidRPr="001A7DE6">
        <w:rPr>
          <w:rFonts w:ascii="Arial" w:hAnsi="Arial" w:cs="Arial"/>
          <w:sz w:val="20"/>
          <w:szCs w:val="20"/>
        </w:rPr>
        <w:t xml:space="preserve">(See </w:t>
      </w:r>
      <w:r w:rsidR="00152F3D">
        <w:rPr>
          <w:rFonts w:ascii="Arial" w:hAnsi="Arial" w:cs="Arial"/>
          <w:sz w:val="20"/>
          <w:szCs w:val="20"/>
        </w:rPr>
        <w:t xml:space="preserve">file 1: </w:t>
      </w:r>
      <w:r w:rsidR="001A7DE6" w:rsidRPr="001A7DE6">
        <w:rPr>
          <w:rFonts w:ascii="Arial" w:hAnsi="Arial" w:cs="Arial"/>
          <w:sz w:val="20"/>
          <w:szCs w:val="20"/>
        </w:rPr>
        <w:t xml:space="preserve">“WF Grading Peers” Excel document) </w:t>
      </w:r>
      <w:r w:rsidRPr="001A7DE6">
        <w:rPr>
          <w:rFonts w:ascii="Arial" w:hAnsi="Arial" w:cs="Arial"/>
          <w:sz w:val="20"/>
          <w:szCs w:val="20"/>
        </w:rPr>
        <w:t>provided by Associate Vice-President</w:t>
      </w:r>
      <w:r w:rsidR="004F3755">
        <w:rPr>
          <w:rFonts w:ascii="Arial" w:hAnsi="Arial" w:cs="Arial"/>
          <w:sz w:val="20"/>
          <w:szCs w:val="20"/>
        </w:rPr>
        <w:t xml:space="preserve"> S.</w:t>
      </w:r>
      <w:r w:rsidRPr="001A7DE6">
        <w:rPr>
          <w:rFonts w:ascii="Arial" w:hAnsi="Arial" w:cs="Arial"/>
          <w:sz w:val="20"/>
          <w:szCs w:val="20"/>
        </w:rPr>
        <w:t xml:space="preserve"> Powers and our own practices and procedures regarding student withdrawals, we have developed the following recommendation:</w:t>
      </w:r>
    </w:p>
    <w:p w:rsidR="0012323D" w:rsidRDefault="0012323D" w:rsidP="0012323D"/>
    <w:p w:rsidR="0012323D" w:rsidRPr="001A7DE6" w:rsidRDefault="0012323D" w:rsidP="0012323D">
      <w:pPr>
        <w:ind w:left="630"/>
        <w:rPr>
          <w:rFonts w:ascii="Arial" w:hAnsi="Arial" w:cs="Arial"/>
          <w:sz w:val="20"/>
          <w:szCs w:val="20"/>
        </w:rPr>
      </w:pPr>
      <w:r w:rsidRPr="001A7DE6">
        <w:rPr>
          <w:rFonts w:ascii="Arial" w:hAnsi="Arial" w:cs="Arial"/>
          <w:sz w:val="20"/>
          <w:szCs w:val="20"/>
        </w:rPr>
        <w:t xml:space="preserve">We propose that effective fall 2013, the WF and WP grades be eliminated and that ISU students withdrawing from the university </w:t>
      </w:r>
      <w:proofErr w:type="gramStart"/>
      <w:r w:rsidRPr="001A7DE6">
        <w:rPr>
          <w:rFonts w:ascii="Arial" w:hAnsi="Arial" w:cs="Arial"/>
          <w:sz w:val="20"/>
          <w:szCs w:val="20"/>
        </w:rPr>
        <w:t>be</w:t>
      </w:r>
      <w:proofErr w:type="gramEnd"/>
      <w:r w:rsidRPr="001A7DE6">
        <w:rPr>
          <w:rFonts w:ascii="Arial" w:hAnsi="Arial" w:cs="Arial"/>
          <w:sz w:val="20"/>
          <w:szCs w:val="20"/>
        </w:rPr>
        <w:t xml:space="preserve"> awarded a grade of W in each of their classes. While the W grades will appear on their transcripts, quality points will not be awarded and therefore not factored into the student GPA for both graduate and undergraduate students.</w:t>
      </w:r>
    </w:p>
    <w:p w:rsidR="0012323D" w:rsidRDefault="0012323D" w:rsidP="0012323D">
      <w:pPr>
        <w:ind w:left="630"/>
      </w:pPr>
    </w:p>
    <w:p w:rsidR="0012323D" w:rsidRPr="001A7DE6" w:rsidRDefault="0012323D" w:rsidP="004F3755">
      <w:pPr>
        <w:ind w:left="270"/>
        <w:rPr>
          <w:rFonts w:ascii="Arial" w:hAnsi="Arial" w:cs="Arial"/>
          <w:sz w:val="20"/>
          <w:szCs w:val="20"/>
        </w:rPr>
      </w:pPr>
      <w:r w:rsidRPr="001A7DE6">
        <w:rPr>
          <w:rFonts w:ascii="Arial" w:hAnsi="Arial" w:cs="Arial"/>
          <w:sz w:val="20"/>
          <w:szCs w:val="20"/>
        </w:rPr>
        <w:t>Rationale:</w:t>
      </w:r>
    </w:p>
    <w:p w:rsidR="0012323D" w:rsidRDefault="0012323D" w:rsidP="0012323D"/>
    <w:p w:rsidR="0012323D" w:rsidRPr="001A7DE6" w:rsidRDefault="0012323D" w:rsidP="0012323D">
      <w:pPr>
        <w:pStyle w:val="ListParagraph"/>
        <w:numPr>
          <w:ilvl w:val="0"/>
          <w:numId w:val="23"/>
        </w:numPr>
        <w:rPr>
          <w:rFonts w:ascii="Arial" w:hAnsi="Arial" w:cs="Arial"/>
          <w:sz w:val="20"/>
          <w:szCs w:val="20"/>
        </w:rPr>
      </w:pPr>
      <w:r w:rsidRPr="001A7DE6">
        <w:rPr>
          <w:rFonts w:ascii="Arial" w:hAnsi="Arial" w:cs="Arial"/>
          <w:sz w:val="20"/>
          <w:szCs w:val="20"/>
        </w:rPr>
        <w:t>Of the 24 institutions surveyed, only 4 continue to use WP/WF grades for withdrawing students, and only 3 of them allows the WF grade to impact the GPA. The Committee notes that eliminating WF/WP grades and the impact of a WF on students' GPA would align us with our peer institutions as well as with the principal public institutions in the State of Indiana.</w:t>
      </w:r>
    </w:p>
    <w:p w:rsidR="0012323D" w:rsidRPr="001A7DE6" w:rsidRDefault="0012323D" w:rsidP="0012323D">
      <w:pPr>
        <w:ind w:left="450"/>
        <w:rPr>
          <w:rFonts w:ascii="Arial" w:hAnsi="Arial" w:cs="Arial"/>
          <w:sz w:val="20"/>
          <w:szCs w:val="20"/>
        </w:rPr>
      </w:pPr>
    </w:p>
    <w:p w:rsidR="0012323D" w:rsidRPr="001A7DE6" w:rsidRDefault="0012323D" w:rsidP="0012323D">
      <w:pPr>
        <w:pStyle w:val="ListParagraph"/>
        <w:numPr>
          <w:ilvl w:val="0"/>
          <w:numId w:val="23"/>
        </w:numPr>
        <w:rPr>
          <w:rFonts w:ascii="Arial" w:hAnsi="Arial" w:cs="Arial"/>
          <w:sz w:val="20"/>
          <w:szCs w:val="20"/>
        </w:rPr>
      </w:pPr>
      <w:r w:rsidRPr="001A7DE6">
        <w:rPr>
          <w:rFonts w:ascii="Arial" w:hAnsi="Arial" w:cs="Arial"/>
          <w:sz w:val="20"/>
          <w:szCs w:val="20"/>
        </w:rPr>
        <w:t xml:space="preserve">If a student withdraws from ISU before the 10th week of the semester [by Monday, October 29, this fall, for example] the student's record is wiped clean; there is no record of the student's ever having attended ISU during the relevant term.  However, if the student withdraws one day past the established 10th week deadline, that student currently is assigned a WP or WF in each class and the WF impacts the student's GPA. </w:t>
      </w:r>
    </w:p>
    <w:p w:rsidR="0012323D" w:rsidRPr="001A7DE6" w:rsidRDefault="0012323D" w:rsidP="0012323D">
      <w:pPr>
        <w:ind w:left="450"/>
        <w:rPr>
          <w:rFonts w:ascii="Arial" w:hAnsi="Arial" w:cs="Arial"/>
          <w:sz w:val="20"/>
          <w:szCs w:val="20"/>
        </w:rPr>
      </w:pPr>
    </w:p>
    <w:p w:rsidR="0012323D" w:rsidRPr="001A7DE6" w:rsidRDefault="0012323D" w:rsidP="0012323D">
      <w:pPr>
        <w:pStyle w:val="ListParagraph"/>
        <w:numPr>
          <w:ilvl w:val="0"/>
          <w:numId w:val="23"/>
        </w:numPr>
        <w:rPr>
          <w:rFonts w:ascii="Arial" w:hAnsi="Arial" w:cs="Arial"/>
          <w:sz w:val="20"/>
          <w:szCs w:val="20"/>
        </w:rPr>
      </w:pPr>
      <w:r w:rsidRPr="001A7DE6">
        <w:rPr>
          <w:rFonts w:ascii="Arial" w:hAnsi="Arial" w:cs="Arial"/>
          <w:sz w:val="20"/>
          <w:szCs w:val="20"/>
        </w:rPr>
        <w:t>At present, WP/WF grades are not used by ISU for students who withdraw from summer sessions, so eliminating these grades for fall and spring semesters would create consistency. Students who withdraw from summer sessions receive a grade of N or F, and neither grade impacts their GPA. Perhaps we should include a recommendation that students who withdraw during summer sessions also receive a W grade to create consistency.</w:t>
      </w:r>
    </w:p>
    <w:p w:rsidR="0012323D" w:rsidRPr="001A7DE6" w:rsidRDefault="0012323D" w:rsidP="0012323D">
      <w:pPr>
        <w:ind w:left="450"/>
        <w:rPr>
          <w:rFonts w:ascii="Arial" w:hAnsi="Arial" w:cs="Arial"/>
          <w:sz w:val="20"/>
          <w:szCs w:val="20"/>
        </w:rPr>
      </w:pPr>
    </w:p>
    <w:p w:rsidR="0012323D" w:rsidRPr="001A7DE6" w:rsidRDefault="0012323D" w:rsidP="0012323D">
      <w:pPr>
        <w:pStyle w:val="ListParagraph"/>
        <w:numPr>
          <w:ilvl w:val="0"/>
          <w:numId w:val="23"/>
        </w:numPr>
        <w:rPr>
          <w:rFonts w:ascii="Arial" w:hAnsi="Arial" w:cs="Arial"/>
          <w:sz w:val="20"/>
          <w:szCs w:val="20"/>
        </w:rPr>
      </w:pPr>
      <w:r w:rsidRPr="001A7DE6">
        <w:rPr>
          <w:rFonts w:ascii="Arial" w:hAnsi="Arial" w:cs="Arial"/>
          <w:sz w:val="20"/>
          <w:szCs w:val="20"/>
        </w:rPr>
        <w:t xml:space="preserve">A study of the grades assigned to students who withdrew from ISU during the 2010-11 and 2011-12 academic years reveals considerable inconsistency in the assigning of WP or WF grades.  Of the 186 students who withdrew during the two- year period, 95 [slightly above 51%] were assigned WP grades in some classes and WF grades in others. While this inconsistency clearly in part results from differing faculty perspectives or policies, it also seems clear that the disparity of grade assignment in these circumstances is impacted by the fact that faculty rarely know the reasons for an individual student's withdrawal. </w:t>
      </w:r>
    </w:p>
    <w:p w:rsidR="0012323D" w:rsidRPr="001A7DE6" w:rsidRDefault="0012323D" w:rsidP="0012323D">
      <w:pPr>
        <w:ind w:left="450"/>
        <w:rPr>
          <w:rFonts w:ascii="Arial" w:hAnsi="Arial" w:cs="Arial"/>
          <w:sz w:val="20"/>
          <w:szCs w:val="20"/>
        </w:rPr>
      </w:pPr>
    </w:p>
    <w:p w:rsidR="0012323D" w:rsidRPr="001A7DE6" w:rsidRDefault="0012323D" w:rsidP="0012323D">
      <w:pPr>
        <w:pStyle w:val="ListParagraph"/>
        <w:numPr>
          <w:ilvl w:val="0"/>
          <w:numId w:val="23"/>
        </w:numPr>
        <w:rPr>
          <w:rFonts w:ascii="Arial" w:hAnsi="Arial" w:cs="Arial"/>
          <w:sz w:val="20"/>
          <w:szCs w:val="20"/>
        </w:rPr>
      </w:pPr>
      <w:r w:rsidRPr="001A7DE6">
        <w:rPr>
          <w:rFonts w:ascii="Arial" w:hAnsi="Arial" w:cs="Arial"/>
          <w:sz w:val="20"/>
          <w:szCs w:val="20"/>
        </w:rPr>
        <w:t>While some might support WF grades, believing that students should experience consequences for withdrawing from school, SAC feels that the loss of academic credit and of income expended for tuition and, in many cases, room and board is penalty enough. A W grade on an academic transcript is sufficient to document the student's performance. Adding a WF grade, especially one that impacts a student's GPA, seems less like a penalty and more like vengeance.</w:t>
      </w:r>
    </w:p>
    <w:p w:rsidR="001A7DE6" w:rsidRDefault="001A7DE6" w:rsidP="00D92396">
      <w:pPr>
        <w:ind w:left="270" w:hanging="270"/>
        <w:rPr>
          <w:rFonts w:ascii="Arial" w:hAnsi="Arial" w:cs="Arial"/>
          <w:sz w:val="20"/>
          <w:szCs w:val="20"/>
        </w:rPr>
      </w:pPr>
    </w:p>
    <w:p w:rsidR="000F289F" w:rsidRDefault="00660003" w:rsidP="004F3755">
      <w:pPr>
        <w:ind w:left="270"/>
        <w:rPr>
          <w:rFonts w:ascii="Arial" w:hAnsi="Arial" w:cs="Arial"/>
          <w:sz w:val="20"/>
          <w:szCs w:val="20"/>
        </w:rPr>
      </w:pPr>
      <w:r>
        <w:rPr>
          <w:rFonts w:ascii="Arial" w:hAnsi="Arial" w:cs="Arial"/>
          <w:sz w:val="20"/>
          <w:szCs w:val="20"/>
        </w:rPr>
        <w:t>Move to forward revised recommendation to Faculty Senate Executive Board: Thacker/</w:t>
      </w:r>
      <w:proofErr w:type="spellStart"/>
      <w:r>
        <w:rPr>
          <w:rFonts w:ascii="Arial" w:hAnsi="Arial" w:cs="Arial"/>
          <w:sz w:val="20"/>
          <w:szCs w:val="20"/>
        </w:rPr>
        <w:t>Swapan</w:t>
      </w:r>
      <w:proofErr w:type="spellEnd"/>
      <w:r>
        <w:rPr>
          <w:rFonts w:ascii="Arial" w:hAnsi="Arial" w:cs="Arial"/>
          <w:sz w:val="20"/>
          <w:szCs w:val="20"/>
        </w:rPr>
        <w:t xml:space="preserve">. </w:t>
      </w:r>
      <w:r>
        <w:rPr>
          <w:rFonts w:ascii="Arial" w:hAnsi="Arial" w:cs="Arial"/>
          <w:b/>
          <w:sz w:val="20"/>
          <w:szCs w:val="20"/>
        </w:rPr>
        <w:t>Motion passed 6-0-0.</w:t>
      </w:r>
      <w:r w:rsidR="00FD271F">
        <w:rPr>
          <w:rFonts w:ascii="Arial" w:hAnsi="Arial" w:cs="Arial"/>
          <w:b/>
          <w:sz w:val="20"/>
          <w:szCs w:val="20"/>
        </w:rPr>
        <w:t xml:space="preserve">  </w:t>
      </w:r>
      <w:r w:rsidR="00FD271F">
        <w:rPr>
          <w:rFonts w:ascii="Arial" w:hAnsi="Arial" w:cs="Arial"/>
          <w:sz w:val="20"/>
          <w:szCs w:val="20"/>
        </w:rPr>
        <w:t>At its</w:t>
      </w:r>
      <w:r w:rsidR="004F3755">
        <w:rPr>
          <w:rFonts w:ascii="Arial" w:hAnsi="Arial" w:cs="Arial"/>
          <w:sz w:val="20"/>
          <w:szCs w:val="20"/>
        </w:rPr>
        <w:t xml:space="preserve"> </w:t>
      </w:r>
      <w:r w:rsidR="00FD271F">
        <w:rPr>
          <w:rFonts w:ascii="Arial" w:hAnsi="Arial" w:cs="Arial"/>
          <w:sz w:val="20"/>
          <w:szCs w:val="20"/>
        </w:rPr>
        <w:t>November 26 meeting, the Faculty Senate Executive Committee voted 7-1-1 to accept SAC’s recommendation.</w:t>
      </w:r>
      <w:r w:rsidR="004E24DE">
        <w:rPr>
          <w:rFonts w:ascii="Arial" w:hAnsi="Arial" w:cs="Arial"/>
          <w:sz w:val="20"/>
          <w:szCs w:val="20"/>
        </w:rPr>
        <w:t xml:space="preserve">  </w:t>
      </w:r>
      <w:r w:rsidR="003E12E5">
        <w:rPr>
          <w:rFonts w:ascii="Arial" w:hAnsi="Arial" w:cs="Arial"/>
          <w:sz w:val="20"/>
          <w:szCs w:val="20"/>
        </w:rPr>
        <w:t>At the December 12, 2012 Faculty Senate Meeting, the recommendation was approved 25-0-2.</w:t>
      </w:r>
    </w:p>
    <w:p w:rsidR="00FD271F" w:rsidRDefault="00FD271F" w:rsidP="00660003">
      <w:pPr>
        <w:rPr>
          <w:rFonts w:ascii="Arial" w:hAnsi="Arial" w:cs="Arial"/>
          <w:sz w:val="20"/>
          <w:szCs w:val="20"/>
        </w:rPr>
      </w:pPr>
    </w:p>
    <w:p w:rsidR="00945450" w:rsidRDefault="00945450">
      <w:pPr>
        <w:rPr>
          <w:b/>
        </w:rPr>
      </w:pPr>
      <w:r>
        <w:rPr>
          <w:b/>
        </w:rPr>
        <w:br w:type="page"/>
      </w:r>
    </w:p>
    <w:p w:rsidR="00FD271F" w:rsidRPr="00C3424D" w:rsidRDefault="00FD271F" w:rsidP="00660003">
      <w:pPr>
        <w:rPr>
          <w:rFonts w:ascii="Arial" w:hAnsi="Arial" w:cs="Arial"/>
          <w:b/>
          <w:sz w:val="20"/>
          <w:szCs w:val="20"/>
        </w:rPr>
      </w:pPr>
      <w:r w:rsidRPr="00C3424D">
        <w:rPr>
          <w:rFonts w:ascii="Arial" w:hAnsi="Arial" w:cs="Arial"/>
          <w:b/>
          <w:sz w:val="20"/>
          <w:szCs w:val="20"/>
        </w:rPr>
        <w:lastRenderedPageBreak/>
        <w:t>New Charges</w:t>
      </w:r>
    </w:p>
    <w:p w:rsidR="000F289F" w:rsidRDefault="000F289F" w:rsidP="000F289F">
      <w:pPr>
        <w:pStyle w:val="ListParagraph"/>
        <w:rPr>
          <w:rFonts w:ascii="Arial" w:hAnsi="Arial" w:cs="Arial"/>
          <w:sz w:val="20"/>
          <w:szCs w:val="20"/>
        </w:rPr>
      </w:pPr>
    </w:p>
    <w:p w:rsidR="00B01BFA" w:rsidRDefault="00FD271F" w:rsidP="00B01BFA">
      <w:pPr>
        <w:pStyle w:val="ListParagraph"/>
        <w:numPr>
          <w:ilvl w:val="0"/>
          <w:numId w:val="22"/>
        </w:numPr>
        <w:spacing w:after="200"/>
        <w:ind w:left="360"/>
        <w:rPr>
          <w:rFonts w:ascii="Arial" w:hAnsi="Arial" w:cs="Arial"/>
          <w:sz w:val="20"/>
          <w:szCs w:val="20"/>
        </w:rPr>
      </w:pPr>
      <w:r w:rsidRPr="00945450">
        <w:rPr>
          <w:rFonts w:ascii="Arial" w:hAnsi="Arial" w:cs="Arial"/>
          <w:b/>
          <w:i/>
          <w:sz w:val="20"/>
          <w:szCs w:val="20"/>
        </w:rPr>
        <w:t>Explore whether financial aid delays limit student’s ability to purchase books.</w:t>
      </w:r>
      <w:r>
        <w:t xml:space="preserve">  </w:t>
      </w:r>
      <w:r>
        <w:rPr>
          <w:rFonts w:ascii="Arial" w:hAnsi="Arial" w:cs="Arial"/>
          <w:sz w:val="20"/>
          <w:szCs w:val="20"/>
        </w:rPr>
        <w:t>SAC determined to</w:t>
      </w:r>
      <w:r w:rsidRPr="00B40BA4">
        <w:rPr>
          <w:rFonts w:ascii="Arial" w:hAnsi="Arial" w:cs="Arial"/>
          <w:sz w:val="20"/>
          <w:szCs w:val="20"/>
        </w:rPr>
        <w:t xml:space="preserve"> broaden </w:t>
      </w:r>
      <w:r>
        <w:rPr>
          <w:rFonts w:ascii="Arial" w:hAnsi="Arial" w:cs="Arial"/>
          <w:sz w:val="20"/>
          <w:szCs w:val="20"/>
        </w:rPr>
        <w:t xml:space="preserve">the </w:t>
      </w:r>
      <w:r w:rsidRPr="00B40BA4">
        <w:rPr>
          <w:rFonts w:ascii="Arial" w:hAnsi="Arial" w:cs="Arial"/>
          <w:sz w:val="20"/>
          <w:szCs w:val="20"/>
        </w:rPr>
        <w:t>exploration: Investigate reasons for students purchasing textbo</w:t>
      </w:r>
      <w:r>
        <w:rPr>
          <w:rFonts w:ascii="Arial" w:hAnsi="Arial" w:cs="Arial"/>
          <w:sz w:val="20"/>
          <w:szCs w:val="20"/>
        </w:rPr>
        <w:t xml:space="preserve">oks late, and propose solutions.  </w:t>
      </w:r>
      <w:r w:rsidRPr="00B40BA4">
        <w:rPr>
          <w:rFonts w:ascii="Arial" w:hAnsi="Arial" w:cs="Arial"/>
          <w:sz w:val="20"/>
          <w:szCs w:val="20"/>
        </w:rPr>
        <w:t>A subcommittee consisting of Toomey, Blevens, and Copas assume</w:t>
      </w:r>
      <w:r>
        <w:rPr>
          <w:rFonts w:ascii="Arial" w:hAnsi="Arial" w:cs="Arial"/>
          <w:sz w:val="20"/>
          <w:szCs w:val="20"/>
        </w:rPr>
        <w:t>d</w:t>
      </w:r>
      <w:r w:rsidRPr="00B40BA4">
        <w:rPr>
          <w:rFonts w:ascii="Arial" w:hAnsi="Arial" w:cs="Arial"/>
          <w:sz w:val="20"/>
          <w:szCs w:val="20"/>
        </w:rPr>
        <w:t xml:space="preserve"> responsibility </w:t>
      </w:r>
      <w:proofErr w:type="gramStart"/>
      <w:r>
        <w:rPr>
          <w:rFonts w:ascii="Arial" w:hAnsi="Arial" w:cs="Arial"/>
          <w:sz w:val="20"/>
          <w:szCs w:val="20"/>
        </w:rPr>
        <w:t xml:space="preserve">for </w:t>
      </w:r>
      <w:r w:rsidRPr="00B40BA4">
        <w:rPr>
          <w:rFonts w:ascii="Arial" w:hAnsi="Arial" w:cs="Arial"/>
          <w:sz w:val="20"/>
          <w:szCs w:val="20"/>
        </w:rPr>
        <w:t xml:space="preserve"> the</w:t>
      </w:r>
      <w:proofErr w:type="gramEnd"/>
      <w:r w:rsidRPr="00B40BA4">
        <w:rPr>
          <w:rFonts w:ascii="Arial" w:hAnsi="Arial" w:cs="Arial"/>
          <w:sz w:val="20"/>
          <w:szCs w:val="20"/>
        </w:rPr>
        <w:t xml:space="preserve"> charge. </w:t>
      </w:r>
      <w:r>
        <w:rPr>
          <w:rFonts w:ascii="Arial" w:hAnsi="Arial" w:cs="Arial"/>
          <w:sz w:val="20"/>
          <w:szCs w:val="20"/>
        </w:rPr>
        <w:t>Toomey recruit</w:t>
      </w:r>
      <w:r w:rsidR="004F3755">
        <w:rPr>
          <w:rFonts w:ascii="Arial" w:hAnsi="Arial" w:cs="Arial"/>
          <w:sz w:val="20"/>
          <w:szCs w:val="20"/>
        </w:rPr>
        <w:t>ed</w:t>
      </w:r>
      <w:r>
        <w:rPr>
          <w:rFonts w:ascii="Arial" w:hAnsi="Arial" w:cs="Arial"/>
          <w:sz w:val="20"/>
          <w:szCs w:val="20"/>
        </w:rPr>
        <w:t xml:space="preserve"> the ISU Bookstore manager and the textbook manager as addition</w:t>
      </w:r>
      <w:r w:rsidR="004F3755">
        <w:rPr>
          <w:rFonts w:ascii="Arial" w:hAnsi="Arial" w:cs="Arial"/>
          <w:sz w:val="20"/>
          <w:szCs w:val="20"/>
        </w:rPr>
        <w:t>al</w:t>
      </w:r>
      <w:r>
        <w:rPr>
          <w:rFonts w:ascii="Arial" w:hAnsi="Arial" w:cs="Arial"/>
          <w:sz w:val="20"/>
          <w:szCs w:val="20"/>
        </w:rPr>
        <w:t xml:space="preserve"> resources.  Toomey reported on several campus initiatives to work on issues of student financial aid. SAC’s subcommittee offer</w:t>
      </w:r>
      <w:r w:rsidR="004F3755">
        <w:rPr>
          <w:rFonts w:ascii="Arial" w:hAnsi="Arial" w:cs="Arial"/>
          <w:sz w:val="20"/>
          <w:szCs w:val="20"/>
        </w:rPr>
        <w:t>ed</w:t>
      </w:r>
      <w:r>
        <w:rPr>
          <w:rFonts w:ascii="Arial" w:hAnsi="Arial" w:cs="Arial"/>
          <w:sz w:val="20"/>
          <w:szCs w:val="20"/>
        </w:rPr>
        <w:t xml:space="preserve"> their cooperation as appropriate.  In mid-January, Admissions conduct</w:t>
      </w:r>
      <w:r w:rsidR="00F467C9">
        <w:rPr>
          <w:rFonts w:ascii="Arial" w:hAnsi="Arial" w:cs="Arial"/>
          <w:sz w:val="20"/>
          <w:szCs w:val="20"/>
        </w:rPr>
        <w:t>ed</w:t>
      </w:r>
      <w:r>
        <w:rPr>
          <w:rFonts w:ascii="Arial" w:hAnsi="Arial" w:cs="Arial"/>
          <w:sz w:val="20"/>
          <w:szCs w:val="20"/>
        </w:rPr>
        <w:t xml:space="preserve"> a student-satisfaction survey on textbook purchases (has the student purchased textbooks, what is the source of their purchase, etc.</w:t>
      </w:r>
      <w:r w:rsidR="00152F3D">
        <w:rPr>
          <w:rFonts w:ascii="Arial" w:hAnsi="Arial" w:cs="Arial"/>
          <w:sz w:val="20"/>
          <w:szCs w:val="20"/>
        </w:rPr>
        <w:t xml:space="preserve">  </w:t>
      </w:r>
      <w:r w:rsidR="00152F3D" w:rsidRPr="0093581D">
        <w:rPr>
          <w:rFonts w:ascii="Arial" w:hAnsi="Arial" w:cs="Arial"/>
          <w:sz w:val="20"/>
          <w:szCs w:val="20"/>
        </w:rPr>
        <w:t xml:space="preserve">See </w:t>
      </w:r>
      <w:r w:rsidR="00152F3D">
        <w:rPr>
          <w:rFonts w:ascii="Arial" w:hAnsi="Arial" w:cs="Arial"/>
          <w:sz w:val="20"/>
          <w:szCs w:val="20"/>
        </w:rPr>
        <w:t xml:space="preserve">file 2: </w:t>
      </w:r>
      <w:r w:rsidR="00152F3D" w:rsidRPr="0093581D">
        <w:rPr>
          <w:rFonts w:ascii="Arial" w:hAnsi="Arial" w:cs="Arial"/>
          <w:sz w:val="20"/>
          <w:szCs w:val="20"/>
        </w:rPr>
        <w:t>“Textbook Survey” Word file.</w:t>
      </w:r>
      <w:r>
        <w:rPr>
          <w:rFonts w:ascii="Arial" w:hAnsi="Arial" w:cs="Arial"/>
          <w:sz w:val="20"/>
          <w:szCs w:val="20"/>
        </w:rPr>
        <w:t xml:space="preserve">). </w:t>
      </w:r>
      <w:r w:rsidRPr="00B40BA4">
        <w:rPr>
          <w:rFonts w:ascii="Arial" w:hAnsi="Arial" w:cs="Arial"/>
          <w:sz w:val="20"/>
          <w:szCs w:val="20"/>
        </w:rPr>
        <w:t xml:space="preserve">  </w:t>
      </w:r>
    </w:p>
    <w:p w:rsidR="00B01BFA" w:rsidRDefault="00B01BFA" w:rsidP="00B01BFA">
      <w:pPr>
        <w:spacing w:after="200"/>
        <w:ind w:left="360"/>
        <w:rPr>
          <w:rFonts w:ascii="Arial" w:hAnsi="Arial" w:cs="Arial"/>
          <w:sz w:val="20"/>
          <w:szCs w:val="20"/>
        </w:rPr>
      </w:pPr>
      <w:r>
        <w:rPr>
          <w:rFonts w:ascii="Arial" w:hAnsi="Arial" w:cs="Arial"/>
          <w:sz w:val="20"/>
          <w:szCs w:val="20"/>
        </w:rPr>
        <w:t xml:space="preserve">SAC observations on the Survey: The problem of students purchasing their textbooks late (or not at all) is not unique to ISU.  If anything, the problem is less severe at ISU than at many other places.  However, </w:t>
      </w:r>
      <w:proofErr w:type="gramStart"/>
      <w:r>
        <w:rPr>
          <w:rFonts w:ascii="Arial" w:hAnsi="Arial" w:cs="Arial"/>
          <w:sz w:val="20"/>
          <w:szCs w:val="20"/>
        </w:rPr>
        <w:t>late purchases</w:t>
      </w:r>
      <w:r w:rsidR="004F3755">
        <w:rPr>
          <w:rFonts w:ascii="Arial" w:hAnsi="Arial" w:cs="Arial"/>
          <w:sz w:val="20"/>
          <w:szCs w:val="20"/>
        </w:rPr>
        <w:t xml:space="preserve"> </w:t>
      </w:r>
      <w:r w:rsidR="004F3755">
        <w:rPr>
          <w:rFonts w:ascii="Arial" w:hAnsi="Arial" w:cs="Arial"/>
          <w:sz w:val="20"/>
          <w:szCs w:val="20"/>
        </w:rPr>
        <w:t>at ISU</w:t>
      </w:r>
      <w:r>
        <w:rPr>
          <w:rFonts w:ascii="Arial" w:hAnsi="Arial" w:cs="Arial"/>
          <w:sz w:val="20"/>
          <w:szCs w:val="20"/>
        </w:rPr>
        <w:t xml:space="preserve"> is</w:t>
      </w:r>
      <w:proofErr w:type="gramEnd"/>
      <w:r>
        <w:rPr>
          <w:rFonts w:ascii="Arial" w:hAnsi="Arial" w:cs="Arial"/>
          <w:sz w:val="20"/>
          <w:szCs w:val="20"/>
        </w:rPr>
        <w:t xml:space="preserve"> a significant problem and serves as an impediment to education.  The </w:t>
      </w:r>
      <w:r w:rsidR="004F3755">
        <w:rPr>
          <w:rFonts w:ascii="Arial" w:hAnsi="Arial" w:cs="Arial"/>
          <w:sz w:val="20"/>
          <w:szCs w:val="20"/>
        </w:rPr>
        <w:t xml:space="preserve">textbook </w:t>
      </w:r>
      <w:r>
        <w:rPr>
          <w:rFonts w:ascii="Arial" w:hAnsi="Arial" w:cs="Arial"/>
          <w:sz w:val="20"/>
          <w:szCs w:val="20"/>
        </w:rPr>
        <w:t xml:space="preserve">survey indicates that ISU’s original charge, to explore whether financial aid delays limit </w:t>
      </w:r>
      <w:r w:rsidR="004F3755">
        <w:rPr>
          <w:rFonts w:ascii="Arial" w:hAnsi="Arial" w:cs="Arial"/>
          <w:sz w:val="20"/>
          <w:szCs w:val="20"/>
        </w:rPr>
        <w:t xml:space="preserve">a </w:t>
      </w:r>
      <w:r>
        <w:rPr>
          <w:rFonts w:ascii="Arial" w:hAnsi="Arial" w:cs="Arial"/>
          <w:sz w:val="20"/>
          <w:szCs w:val="20"/>
        </w:rPr>
        <w:t xml:space="preserve">student’s ability to purchase books, is only a small part of the problem.  Student survey responses about how the problem might be solved </w:t>
      </w:r>
      <w:r w:rsidR="0081715B">
        <w:rPr>
          <w:rFonts w:ascii="Arial" w:hAnsi="Arial" w:cs="Arial"/>
          <w:sz w:val="20"/>
          <w:szCs w:val="20"/>
        </w:rPr>
        <w:t>shed more light than heat on the issue.  To some extent, the solution to the problem is a communication issue, and ISU, spearheaded by the Office of Admissions, has taken steps to resolve the communication problem (see the concluding statements in the “Textbook Survey” document.</w:t>
      </w:r>
    </w:p>
    <w:p w:rsidR="0081715B" w:rsidRDefault="0081715B" w:rsidP="00B01BFA">
      <w:pPr>
        <w:spacing w:after="200"/>
        <w:ind w:left="360"/>
        <w:rPr>
          <w:rFonts w:ascii="Arial" w:hAnsi="Arial" w:cs="Arial"/>
          <w:sz w:val="20"/>
          <w:szCs w:val="20"/>
        </w:rPr>
      </w:pPr>
      <w:r>
        <w:rPr>
          <w:rFonts w:ascii="Arial" w:hAnsi="Arial" w:cs="Arial"/>
          <w:sz w:val="20"/>
          <w:szCs w:val="20"/>
        </w:rPr>
        <w:t>SAC recommends that it continue to monitor late textbook purchases in 2013-2014.</w:t>
      </w:r>
    </w:p>
    <w:p w:rsidR="002434E2" w:rsidRPr="002434E2" w:rsidRDefault="003E12E5" w:rsidP="003E12E5">
      <w:pPr>
        <w:pStyle w:val="ListParagraph"/>
        <w:numPr>
          <w:ilvl w:val="0"/>
          <w:numId w:val="22"/>
        </w:numPr>
        <w:spacing w:after="200"/>
        <w:ind w:left="360"/>
        <w:rPr>
          <w:rFonts w:ascii="Arial" w:hAnsi="Arial" w:cs="Arial"/>
          <w:b/>
          <w:i/>
          <w:sz w:val="20"/>
          <w:szCs w:val="20"/>
        </w:rPr>
      </w:pPr>
      <w:r>
        <w:rPr>
          <w:rFonts w:ascii="Arial" w:hAnsi="Arial" w:cs="Arial"/>
          <w:b/>
          <w:i/>
          <w:sz w:val="20"/>
          <w:szCs w:val="20"/>
        </w:rPr>
        <w:t xml:space="preserve">Explore the </w:t>
      </w:r>
      <w:r w:rsidRPr="003E12E5">
        <w:rPr>
          <w:rFonts w:ascii="Arial" w:hAnsi="Arial" w:cs="Arial"/>
          <w:b/>
          <w:i/>
          <w:sz w:val="20"/>
          <w:szCs w:val="20"/>
        </w:rPr>
        <w:t>Proposed Modification to the Undergraduate Course Repeat Policy</w:t>
      </w:r>
      <w:r>
        <w:rPr>
          <w:rFonts w:ascii="Arial" w:hAnsi="Arial" w:cs="Arial"/>
          <w:b/>
          <w:i/>
          <w:sz w:val="20"/>
          <w:szCs w:val="20"/>
        </w:rPr>
        <w:t xml:space="preserve">.  </w:t>
      </w:r>
      <w:r>
        <w:rPr>
          <w:rFonts w:ascii="Arial" w:hAnsi="Arial" w:cs="Arial"/>
          <w:sz w:val="20"/>
          <w:szCs w:val="20"/>
        </w:rPr>
        <w:t>At its January meeting, SAC began consideration of this new charge, appointing a</w:t>
      </w:r>
      <w:r w:rsidRPr="00B40BA4">
        <w:rPr>
          <w:rFonts w:ascii="Arial" w:hAnsi="Arial" w:cs="Arial"/>
          <w:sz w:val="20"/>
          <w:szCs w:val="20"/>
        </w:rPr>
        <w:t xml:space="preserve"> subcommittee consisting of Thacker, </w:t>
      </w:r>
      <w:r w:rsidR="002434E2">
        <w:rPr>
          <w:rFonts w:ascii="Arial" w:hAnsi="Arial" w:cs="Arial"/>
          <w:sz w:val="20"/>
          <w:szCs w:val="20"/>
        </w:rPr>
        <w:t>Hauser</w:t>
      </w:r>
      <w:r w:rsidRPr="00B40BA4">
        <w:rPr>
          <w:rFonts w:ascii="Arial" w:hAnsi="Arial" w:cs="Arial"/>
          <w:sz w:val="20"/>
          <w:szCs w:val="20"/>
        </w:rPr>
        <w:t xml:space="preserve">, Coldren, </w:t>
      </w:r>
      <w:r w:rsidR="00735B01">
        <w:rPr>
          <w:rFonts w:ascii="Arial" w:hAnsi="Arial" w:cs="Arial"/>
          <w:sz w:val="20"/>
          <w:szCs w:val="20"/>
        </w:rPr>
        <w:t xml:space="preserve">S. </w:t>
      </w:r>
      <w:r w:rsidRPr="00B40BA4">
        <w:rPr>
          <w:rFonts w:ascii="Arial" w:hAnsi="Arial" w:cs="Arial"/>
          <w:sz w:val="20"/>
          <w:szCs w:val="20"/>
        </w:rPr>
        <w:t>Powers, and Waldron</w:t>
      </w:r>
      <w:r>
        <w:rPr>
          <w:rFonts w:ascii="Arial" w:hAnsi="Arial" w:cs="Arial"/>
          <w:sz w:val="20"/>
          <w:szCs w:val="20"/>
        </w:rPr>
        <w:t xml:space="preserve">. </w:t>
      </w:r>
      <w:r w:rsidR="002434E2">
        <w:rPr>
          <w:rFonts w:ascii="Arial" w:hAnsi="Arial" w:cs="Arial"/>
          <w:sz w:val="20"/>
          <w:szCs w:val="20"/>
        </w:rPr>
        <w:t>Current policy is:</w:t>
      </w:r>
    </w:p>
    <w:p w:rsidR="002434E2" w:rsidRDefault="002434E2" w:rsidP="002434E2">
      <w:pPr>
        <w:pStyle w:val="ListParagraph"/>
        <w:spacing w:after="200"/>
        <w:ind w:left="360"/>
        <w:rPr>
          <w:rFonts w:ascii="Arial" w:hAnsi="Arial" w:cs="Arial"/>
          <w:b/>
          <w:i/>
          <w:sz w:val="20"/>
          <w:szCs w:val="20"/>
        </w:rPr>
      </w:pPr>
    </w:p>
    <w:p w:rsidR="002434E2" w:rsidRPr="002434E2" w:rsidRDefault="002434E2" w:rsidP="002434E2">
      <w:pPr>
        <w:pStyle w:val="ListParagraph"/>
        <w:spacing w:after="200"/>
        <w:ind w:left="360"/>
        <w:rPr>
          <w:rFonts w:ascii="Arial" w:hAnsi="Arial" w:cs="Arial"/>
          <w:sz w:val="20"/>
          <w:szCs w:val="20"/>
        </w:rPr>
      </w:pPr>
      <w:r w:rsidRPr="002434E2">
        <w:rPr>
          <w:rFonts w:ascii="Arial" w:hAnsi="Arial" w:cs="Arial"/>
          <w:sz w:val="20"/>
          <w:szCs w:val="20"/>
        </w:rPr>
        <w:t>Any course may be repeated once for grade point average improvement. Only courses taken at Indiana State University are eligible for course repeat. The better grade earned will become the grade for the course. The lesser grade remains recorded on the transcript, but hours and points of the lesser grade will not be used in index computation. If a “DF”, “DP”, “IN”, “S”, “U” or “WP” grade is received, the course repeat request is void.</w:t>
      </w:r>
    </w:p>
    <w:p w:rsidR="002434E2" w:rsidRPr="002434E2" w:rsidRDefault="002434E2" w:rsidP="002434E2">
      <w:pPr>
        <w:pStyle w:val="ListParagraph"/>
        <w:spacing w:after="200"/>
        <w:ind w:left="360"/>
        <w:rPr>
          <w:rFonts w:ascii="Arial" w:hAnsi="Arial" w:cs="Arial"/>
          <w:b/>
          <w:i/>
          <w:sz w:val="20"/>
          <w:szCs w:val="20"/>
        </w:rPr>
      </w:pPr>
    </w:p>
    <w:p w:rsidR="002434E2" w:rsidRDefault="003E12E5" w:rsidP="002434E2">
      <w:pPr>
        <w:pStyle w:val="ListParagraph"/>
        <w:spacing w:after="200"/>
        <w:ind w:left="360"/>
        <w:rPr>
          <w:rFonts w:ascii="Arial" w:hAnsi="Arial" w:cs="Arial"/>
          <w:sz w:val="20"/>
          <w:szCs w:val="20"/>
        </w:rPr>
      </w:pPr>
      <w:r w:rsidRPr="00D92396">
        <w:rPr>
          <w:rFonts w:ascii="Arial" w:hAnsi="Arial" w:cs="Arial"/>
          <w:sz w:val="20"/>
          <w:szCs w:val="20"/>
        </w:rPr>
        <w:t>The subcommittee surveyed peer institutions (See</w:t>
      </w:r>
      <w:r w:rsidR="00FC1842">
        <w:rPr>
          <w:rFonts w:ascii="Arial" w:hAnsi="Arial" w:cs="Arial"/>
          <w:sz w:val="20"/>
          <w:szCs w:val="20"/>
        </w:rPr>
        <w:t xml:space="preserve"> file 3:</w:t>
      </w:r>
      <w:r w:rsidRPr="00D92396">
        <w:rPr>
          <w:rFonts w:ascii="Arial" w:hAnsi="Arial" w:cs="Arial"/>
          <w:sz w:val="20"/>
          <w:szCs w:val="20"/>
        </w:rPr>
        <w:t xml:space="preserve"> </w:t>
      </w:r>
      <w:r w:rsidR="00FC1842">
        <w:rPr>
          <w:rFonts w:ascii="Arial" w:hAnsi="Arial" w:cs="Arial"/>
          <w:sz w:val="20"/>
          <w:szCs w:val="20"/>
        </w:rPr>
        <w:t>“</w:t>
      </w:r>
      <w:r w:rsidRPr="00C3424D">
        <w:rPr>
          <w:rFonts w:ascii="Arial" w:hAnsi="Arial" w:cs="Arial"/>
          <w:sz w:val="20"/>
          <w:szCs w:val="20"/>
        </w:rPr>
        <w:t>Course Repeat Policy Comparisons</w:t>
      </w:r>
      <w:r w:rsidR="00FC1842">
        <w:rPr>
          <w:rFonts w:ascii="Arial" w:hAnsi="Arial" w:cs="Arial"/>
          <w:sz w:val="20"/>
          <w:szCs w:val="20"/>
        </w:rPr>
        <w:t xml:space="preserve">” </w:t>
      </w:r>
      <w:proofErr w:type="spellStart"/>
      <w:r w:rsidR="00FC1842" w:rsidRPr="00D92396">
        <w:rPr>
          <w:rFonts w:ascii="Arial" w:hAnsi="Arial" w:cs="Arial"/>
          <w:sz w:val="20"/>
          <w:szCs w:val="20"/>
        </w:rPr>
        <w:t>pdf</w:t>
      </w:r>
      <w:proofErr w:type="spellEnd"/>
      <w:r w:rsidR="00FC1842" w:rsidRPr="00D92396">
        <w:rPr>
          <w:rFonts w:ascii="Arial" w:hAnsi="Arial" w:cs="Arial"/>
          <w:sz w:val="20"/>
          <w:szCs w:val="20"/>
        </w:rPr>
        <w:t xml:space="preserve"> </w:t>
      </w:r>
      <w:proofErr w:type="gramStart"/>
      <w:r w:rsidR="00FC1842" w:rsidRPr="00D92396">
        <w:rPr>
          <w:rFonts w:ascii="Arial" w:hAnsi="Arial" w:cs="Arial"/>
          <w:sz w:val="20"/>
          <w:szCs w:val="20"/>
        </w:rPr>
        <w:t>file:</w:t>
      </w:r>
      <w:proofErr w:type="gramEnd"/>
      <w:r>
        <w:rPr>
          <w:rFonts w:ascii="Arial" w:hAnsi="Arial" w:cs="Arial"/>
          <w:sz w:val="20"/>
          <w:szCs w:val="20"/>
        </w:rPr>
        <w:t xml:space="preserve">).  </w:t>
      </w:r>
      <w:r w:rsidR="002434E2">
        <w:rPr>
          <w:rFonts w:ascii="Arial" w:hAnsi="Arial" w:cs="Arial"/>
          <w:sz w:val="20"/>
          <w:szCs w:val="20"/>
        </w:rPr>
        <w:t>SAC modified the proposal as follows:</w:t>
      </w:r>
    </w:p>
    <w:p w:rsidR="00F208CC" w:rsidRDefault="00F208CC" w:rsidP="002434E2">
      <w:pPr>
        <w:pStyle w:val="ListParagraph"/>
        <w:spacing w:after="200"/>
        <w:ind w:left="360"/>
        <w:rPr>
          <w:rFonts w:ascii="Arial" w:hAnsi="Arial" w:cs="Arial"/>
          <w:sz w:val="20"/>
          <w:szCs w:val="20"/>
        </w:rPr>
      </w:pPr>
    </w:p>
    <w:p w:rsidR="00F208CC" w:rsidRPr="00F208CC" w:rsidRDefault="00F208CC" w:rsidP="002434E2">
      <w:pPr>
        <w:pStyle w:val="ListParagraph"/>
        <w:spacing w:after="200"/>
        <w:ind w:left="360"/>
        <w:rPr>
          <w:rFonts w:ascii="Arial" w:hAnsi="Arial" w:cs="Arial"/>
          <w:sz w:val="20"/>
          <w:szCs w:val="20"/>
        </w:rPr>
      </w:pPr>
      <w:r w:rsidRPr="00F208CC">
        <w:rPr>
          <w:rFonts w:ascii="Arial" w:hAnsi="Arial" w:cs="Arial"/>
          <w:sz w:val="20"/>
          <w:szCs w:val="20"/>
        </w:rPr>
        <w:t>A course in which a student has received a grade of C- or lower may be repeated for grade improvement.  The highest grade received for the course, taken at Indiana State University, will automatically be included in the computation of the cumulative GPA. The initial grade(s) and the repeat grade(s) will appear on the student’s record.  Only courses taken at Indiana State University are eligible for course repeat.</w:t>
      </w:r>
    </w:p>
    <w:p w:rsidR="00F208CC" w:rsidRDefault="00F208CC" w:rsidP="002434E2">
      <w:pPr>
        <w:pStyle w:val="ListParagraph"/>
        <w:spacing w:after="200"/>
        <w:ind w:left="360"/>
        <w:rPr>
          <w:rFonts w:ascii="Arial" w:hAnsi="Arial" w:cs="Arial"/>
          <w:sz w:val="20"/>
          <w:szCs w:val="20"/>
        </w:rPr>
      </w:pPr>
    </w:p>
    <w:p w:rsidR="00F208CC" w:rsidRDefault="00F208CC" w:rsidP="002434E2">
      <w:pPr>
        <w:pStyle w:val="ListParagraph"/>
        <w:spacing w:after="200"/>
        <w:ind w:left="360"/>
        <w:rPr>
          <w:rFonts w:ascii="Arial" w:hAnsi="Arial" w:cs="Arial"/>
          <w:sz w:val="20"/>
          <w:szCs w:val="20"/>
        </w:rPr>
      </w:pPr>
      <w:r w:rsidRPr="00F208CC">
        <w:rPr>
          <w:rFonts w:ascii="Arial" w:hAnsi="Arial" w:cs="Arial"/>
          <w:b/>
          <w:sz w:val="20"/>
          <w:szCs w:val="20"/>
        </w:rPr>
        <w:t>Rationale</w:t>
      </w:r>
      <w:r>
        <w:rPr>
          <w:rFonts w:ascii="Arial" w:hAnsi="Arial" w:cs="Arial"/>
          <w:sz w:val="20"/>
          <w:szCs w:val="20"/>
        </w:rPr>
        <w:t>:</w:t>
      </w:r>
    </w:p>
    <w:p w:rsidR="00F208CC" w:rsidRPr="00F208CC" w:rsidRDefault="00F208CC" w:rsidP="00F208CC">
      <w:pPr>
        <w:ind w:left="360"/>
        <w:rPr>
          <w:rFonts w:ascii="Arial" w:hAnsi="Arial" w:cs="Arial"/>
          <w:sz w:val="20"/>
          <w:szCs w:val="20"/>
        </w:rPr>
      </w:pPr>
      <w:r w:rsidRPr="00F208CC">
        <w:rPr>
          <w:rFonts w:ascii="Arial" w:hAnsi="Arial" w:cs="Arial"/>
          <w:sz w:val="20"/>
          <w:szCs w:val="20"/>
        </w:rPr>
        <w:t>A modification is recommended to the current course repeat policy for the following reasons:</w:t>
      </w:r>
    </w:p>
    <w:p w:rsidR="00F208CC" w:rsidRPr="00F208CC" w:rsidRDefault="00F208CC" w:rsidP="00F208CC">
      <w:pPr>
        <w:rPr>
          <w:rFonts w:ascii="Arial" w:hAnsi="Arial" w:cs="Arial"/>
          <w:sz w:val="20"/>
          <w:szCs w:val="20"/>
        </w:rPr>
      </w:pPr>
    </w:p>
    <w:p w:rsidR="00F208CC" w:rsidRPr="00F208CC" w:rsidRDefault="00F208CC" w:rsidP="00F208CC">
      <w:pPr>
        <w:pStyle w:val="ListParagraph"/>
        <w:numPr>
          <w:ilvl w:val="0"/>
          <w:numId w:val="24"/>
        </w:numPr>
        <w:rPr>
          <w:rFonts w:ascii="Arial" w:hAnsi="Arial" w:cs="Arial"/>
          <w:sz w:val="20"/>
          <w:szCs w:val="20"/>
        </w:rPr>
      </w:pPr>
      <w:r w:rsidRPr="00F208CC">
        <w:rPr>
          <w:rFonts w:ascii="Arial" w:hAnsi="Arial" w:cs="Arial"/>
          <w:sz w:val="20"/>
          <w:szCs w:val="20"/>
        </w:rPr>
        <w:t>Supports the 4 year Graduation Guarantee and moves students forward in progress toward degree completion.</w:t>
      </w:r>
    </w:p>
    <w:p w:rsidR="00F208CC" w:rsidRPr="00F208CC" w:rsidRDefault="00735B01" w:rsidP="00F208CC">
      <w:pPr>
        <w:pStyle w:val="ListParagraph"/>
        <w:numPr>
          <w:ilvl w:val="0"/>
          <w:numId w:val="24"/>
        </w:numPr>
        <w:rPr>
          <w:rFonts w:ascii="Arial" w:hAnsi="Arial" w:cs="Arial"/>
          <w:sz w:val="20"/>
          <w:szCs w:val="20"/>
        </w:rPr>
      </w:pPr>
      <w:r>
        <w:rPr>
          <w:rFonts w:ascii="Arial" w:hAnsi="Arial" w:cs="Arial"/>
          <w:sz w:val="20"/>
          <w:szCs w:val="20"/>
        </w:rPr>
        <w:t>To i</w:t>
      </w:r>
      <w:r w:rsidR="00F208CC" w:rsidRPr="00F208CC">
        <w:rPr>
          <w:rFonts w:ascii="Arial" w:hAnsi="Arial" w:cs="Arial"/>
          <w:sz w:val="20"/>
          <w:szCs w:val="20"/>
        </w:rPr>
        <w:t>mprove student GPA overall (for those who have course repeats because of insufficient grades)</w:t>
      </w:r>
    </w:p>
    <w:p w:rsidR="00F208CC" w:rsidRPr="00F208CC" w:rsidRDefault="00F208CC" w:rsidP="00F208CC">
      <w:pPr>
        <w:pStyle w:val="ListParagraph"/>
        <w:numPr>
          <w:ilvl w:val="0"/>
          <w:numId w:val="24"/>
        </w:numPr>
        <w:rPr>
          <w:rFonts w:ascii="Arial" w:hAnsi="Arial" w:cs="Arial"/>
          <w:sz w:val="20"/>
          <w:szCs w:val="20"/>
        </w:rPr>
      </w:pPr>
      <w:r w:rsidRPr="00F208CC">
        <w:rPr>
          <w:rFonts w:ascii="Arial" w:hAnsi="Arial" w:cs="Arial"/>
          <w:sz w:val="20"/>
          <w:szCs w:val="20"/>
        </w:rPr>
        <w:t>Accounts for changes to Financial Aid eligibility.  Effective July 1, 2011, due to changes in federal regulations, a student may receive federal financial aid (</w:t>
      </w:r>
      <w:hyperlink r:id="rId6" w:history="1">
        <w:r w:rsidRPr="00F208CC">
          <w:rPr>
            <w:rStyle w:val="Hyperlink"/>
            <w:rFonts w:ascii="Arial" w:hAnsi="Arial" w:cs="Arial"/>
            <w:sz w:val="20"/>
            <w:szCs w:val="20"/>
          </w:rPr>
          <w:t>Title IV funds</w:t>
        </w:r>
      </w:hyperlink>
      <w:r w:rsidRPr="00F208CC">
        <w:rPr>
          <w:rFonts w:ascii="Arial" w:hAnsi="Arial" w:cs="Arial"/>
          <w:sz w:val="20"/>
          <w:szCs w:val="20"/>
        </w:rPr>
        <w:t xml:space="preserve">) for a repeated course only once if the course was previously passed and will align better with satisfactory academic </w:t>
      </w:r>
      <w:proofErr w:type="spellStart"/>
      <w:r w:rsidRPr="00F208CC">
        <w:rPr>
          <w:rFonts w:ascii="Arial" w:hAnsi="Arial" w:cs="Arial"/>
          <w:sz w:val="20"/>
          <w:szCs w:val="20"/>
        </w:rPr>
        <w:t>progress.Per</w:t>
      </w:r>
      <w:proofErr w:type="spellEnd"/>
      <w:r w:rsidRPr="00F208CC">
        <w:rPr>
          <w:rFonts w:ascii="Arial" w:hAnsi="Arial" w:cs="Arial"/>
          <w:sz w:val="20"/>
          <w:szCs w:val="20"/>
        </w:rPr>
        <w:t xml:space="preserve"> the April 2010 ACCRAO audit of the Office of Registration, we are not complying with the current Course Repeat policy.  </w:t>
      </w:r>
    </w:p>
    <w:p w:rsidR="00F208CC" w:rsidRPr="00F208CC" w:rsidRDefault="00F208CC" w:rsidP="00F208CC">
      <w:pPr>
        <w:pStyle w:val="ListParagraph"/>
        <w:numPr>
          <w:ilvl w:val="0"/>
          <w:numId w:val="24"/>
        </w:numPr>
        <w:rPr>
          <w:rFonts w:ascii="Arial" w:hAnsi="Arial" w:cs="Arial"/>
          <w:sz w:val="20"/>
          <w:szCs w:val="20"/>
        </w:rPr>
      </w:pPr>
      <w:r w:rsidRPr="00F208CC">
        <w:rPr>
          <w:rFonts w:ascii="Arial" w:hAnsi="Arial" w:cs="Arial"/>
          <w:sz w:val="20"/>
          <w:szCs w:val="20"/>
        </w:rPr>
        <w:lastRenderedPageBreak/>
        <w:t>Allows for faster  processing of grades which will allow faster turnaround in standing reports as well as graduation processing (will decrease the large amount of hand processing that must occur with current process)</w:t>
      </w:r>
    </w:p>
    <w:p w:rsidR="00F208CC" w:rsidRPr="00F208CC" w:rsidRDefault="00F208CC" w:rsidP="00F208CC">
      <w:pPr>
        <w:pStyle w:val="ListParagraph"/>
        <w:numPr>
          <w:ilvl w:val="0"/>
          <w:numId w:val="24"/>
        </w:numPr>
        <w:rPr>
          <w:rFonts w:ascii="Arial" w:hAnsi="Arial" w:cs="Arial"/>
          <w:sz w:val="20"/>
          <w:szCs w:val="20"/>
        </w:rPr>
      </w:pPr>
      <w:r w:rsidRPr="00F208CC">
        <w:rPr>
          <w:rFonts w:ascii="Arial" w:hAnsi="Arial" w:cs="Arial"/>
          <w:sz w:val="20"/>
          <w:szCs w:val="20"/>
        </w:rPr>
        <w:t>The modification is aligned with one of the recommendations regarding course repeat put forward by the Academic Taskforce on Affordability.</w:t>
      </w:r>
    </w:p>
    <w:p w:rsidR="00F208CC" w:rsidRPr="00F208CC" w:rsidRDefault="00F208CC" w:rsidP="00F208CC">
      <w:pPr>
        <w:pStyle w:val="ListParagraph"/>
        <w:numPr>
          <w:ilvl w:val="0"/>
          <w:numId w:val="24"/>
        </w:numPr>
        <w:rPr>
          <w:rFonts w:ascii="Arial" w:hAnsi="Arial" w:cs="Arial"/>
          <w:sz w:val="20"/>
          <w:szCs w:val="20"/>
        </w:rPr>
      </w:pPr>
      <w:r w:rsidRPr="00F208CC">
        <w:rPr>
          <w:rFonts w:ascii="Arial" w:hAnsi="Arial" w:cs="Arial"/>
          <w:sz w:val="20"/>
          <w:szCs w:val="20"/>
        </w:rPr>
        <w:t>The modification will still allow for Dean’s exception for a course repeat of C or better (such as in the case of programs with higher minimum major class grades for retention, graduation, or prerequisites).</w:t>
      </w:r>
    </w:p>
    <w:p w:rsidR="00F208CC" w:rsidRPr="00F208CC" w:rsidRDefault="00F208CC" w:rsidP="00F208CC">
      <w:pPr>
        <w:rPr>
          <w:rFonts w:ascii="Arial" w:hAnsi="Arial" w:cs="Arial"/>
          <w:sz w:val="20"/>
          <w:szCs w:val="20"/>
        </w:rPr>
      </w:pPr>
    </w:p>
    <w:p w:rsidR="00F208CC" w:rsidRDefault="00F208CC" w:rsidP="00F208CC">
      <w:pPr>
        <w:pStyle w:val="ListParagraph"/>
        <w:spacing w:after="200"/>
        <w:ind w:left="360"/>
        <w:rPr>
          <w:rFonts w:ascii="Arial" w:hAnsi="Arial" w:cs="Arial"/>
          <w:sz w:val="20"/>
          <w:szCs w:val="20"/>
        </w:rPr>
      </w:pPr>
      <w:r w:rsidRPr="00F208CC">
        <w:rPr>
          <w:rFonts w:ascii="Arial" w:hAnsi="Arial" w:cs="Arial"/>
          <w:sz w:val="20"/>
          <w:szCs w:val="20"/>
        </w:rPr>
        <w:t>The resulting impact will be to improve retention for these students</w:t>
      </w:r>
      <w:r>
        <w:rPr>
          <w:rFonts w:ascii="Arial" w:hAnsi="Arial" w:cs="Arial"/>
          <w:sz w:val="20"/>
          <w:szCs w:val="20"/>
        </w:rPr>
        <w:t>.</w:t>
      </w:r>
    </w:p>
    <w:p w:rsidR="00F208CC" w:rsidRDefault="00F208CC" w:rsidP="00F208CC">
      <w:pPr>
        <w:pStyle w:val="ListParagraph"/>
        <w:spacing w:after="200"/>
        <w:ind w:left="360"/>
        <w:rPr>
          <w:rFonts w:ascii="Arial" w:hAnsi="Arial" w:cs="Arial"/>
          <w:sz w:val="20"/>
          <w:szCs w:val="20"/>
        </w:rPr>
      </w:pPr>
    </w:p>
    <w:p w:rsidR="00F208CC" w:rsidRDefault="00F208CC" w:rsidP="00F208CC">
      <w:pPr>
        <w:pStyle w:val="ListParagraph"/>
        <w:spacing w:after="200"/>
        <w:ind w:left="360"/>
        <w:rPr>
          <w:rFonts w:ascii="Arial" w:hAnsi="Arial" w:cs="Arial"/>
          <w:sz w:val="20"/>
          <w:szCs w:val="20"/>
        </w:rPr>
      </w:pPr>
      <w:proofErr w:type="gramStart"/>
      <w:r w:rsidRPr="00F208CC">
        <w:rPr>
          <w:rFonts w:ascii="Arial" w:hAnsi="Arial" w:cs="Arial"/>
          <w:b/>
          <w:sz w:val="20"/>
          <w:szCs w:val="20"/>
        </w:rPr>
        <w:t>Senate reaction to proposal</w:t>
      </w:r>
      <w:r>
        <w:rPr>
          <w:rFonts w:ascii="Arial" w:hAnsi="Arial" w:cs="Arial"/>
          <w:sz w:val="20"/>
          <w:szCs w:val="20"/>
        </w:rPr>
        <w:t>.</w:t>
      </w:r>
      <w:proofErr w:type="gramEnd"/>
      <w:r>
        <w:rPr>
          <w:rFonts w:ascii="Arial" w:hAnsi="Arial" w:cs="Arial"/>
          <w:sz w:val="20"/>
          <w:szCs w:val="20"/>
        </w:rPr>
        <w:t xml:space="preserve"> The Senate tabled the proposal, asking that it be modified for clarification.  At the April 18, 2013 Faculty Senate Meeting, the following proposal was adopted on a 20-5-0 vote:</w:t>
      </w:r>
    </w:p>
    <w:p w:rsidR="00F208CC" w:rsidRDefault="00F208CC" w:rsidP="00F208CC">
      <w:pPr>
        <w:pStyle w:val="ListParagraph"/>
        <w:spacing w:after="200"/>
        <w:ind w:left="360"/>
        <w:rPr>
          <w:rFonts w:ascii="Arial" w:hAnsi="Arial" w:cs="Arial"/>
          <w:sz w:val="20"/>
          <w:szCs w:val="20"/>
        </w:rPr>
      </w:pPr>
    </w:p>
    <w:p w:rsidR="00F208CC" w:rsidRPr="00F208CC" w:rsidRDefault="00F208CC" w:rsidP="00F208CC">
      <w:pPr>
        <w:pStyle w:val="ListParagraph"/>
        <w:spacing w:after="200"/>
        <w:ind w:left="360"/>
        <w:rPr>
          <w:rFonts w:ascii="Arial" w:hAnsi="Arial" w:cs="Arial"/>
          <w:sz w:val="20"/>
          <w:szCs w:val="20"/>
        </w:rPr>
      </w:pPr>
      <w:r w:rsidRPr="00F208CC">
        <w:rPr>
          <w:rFonts w:ascii="Arial" w:hAnsi="Arial" w:cs="Arial"/>
          <w:sz w:val="20"/>
          <w:szCs w:val="20"/>
        </w:rPr>
        <w:t>Students may choose to repeat any course for grade improvement. Courses that can be repeated for credit are not included in this policy.  Only the highest grade received for the course, taken at Indiana State University, will be included in the computation of the cumulative GPA. The initial grade(s) and the repeat grade(s) will appear on the student’s record. Only courses taken at Indiana State University are eligible for course repeat. An exception can be granted by the Dean of the relevant college on a case by case basis.</w:t>
      </w:r>
    </w:p>
    <w:p w:rsidR="003E12E5" w:rsidRPr="003E12E5" w:rsidRDefault="003E12E5" w:rsidP="002434E2">
      <w:pPr>
        <w:pStyle w:val="ListParagraph"/>
        <w:spacing w:after="200"/>
        <w:ind w:left="360"/>
        <w:rPr>
          <w:rFonts w:ascii="Arial" w:hAnsi="Arial" w:cs="Arial"/>
          <w:b/>
          <w:i/>
          <w:sz w:val="20"/>
          <w:szCs w:val="20"/>
        </w:rPr>
      </w:pPr>
      <w:r w:rsidRPr="00D92396">
        <w:rPr>
          <w:rFonts w:ascii="Arial" w:hAnsi="Arial" w:cs="Arial"/>
          <w:sz w:val="20"/>
          <w:szCs w:val="20"/>
        </w:rPr>
        <w:t xml:space="preserve"> </w:t>
      </w:r>
      <w:r>
        <w:rPr>
          <w:rFonts w:ascii="Arial" w:hAnsi="Arial" w:cs="Arial"/>
          <w:b/>
          <w:i/>
          <w:sz w:val="20"/>
          <w:szCs w:val="20"/>
        </w:rPr>
        <w:t xml:space="preserve">  </w:t>
      </w:r>
    </w:p>
    <w:p w:rsidR="00B01BFA" w:rsidRPr="00735B01" w:rsidRDefault="0081715B" w:rsidP="00B01BFA">
      <w:pPr>
        <w:pStyle w:val="ListParagraph"/>
        <w:numPr>
          <w:ilvl w:val="0"/>
          <w:numId w:val="22"/>
        </w:numPr>
        <w:spacing w:after="200"/>
        <w:ind w:left="360"/>
        <w:rPr>
          <w:rFonts w:ascii="Arial" w:hAnsi="Arial" w:cs="Arial"/>
          <w:sz w:val="20"/>
          <w:szCs w:val="20"/>
        </w:rPr>
      </w:pPr>
      <w:r w:rsidRPr="00945450">
        <w:rPr>
          <w:rFonts w:ascii="Arial" w:hAnsi="Arial" w:cs="Arial"/>
          <w:b/>
          <w:i/>
          <w:sz w:val="20"/>
          <w:szCs w:val="20"/>
        </w:rPr>
        <w:t xml:space="preserve">Review the Textbook Study Group Recommendations </w:t>
      </w:r>
      <w:r w:rsidR="00006C9C" w:rsidRPr="00945450">
        <w:rPr>
          <w:rFonts w:ascii="Arial" w:hAnsi="Arial" w:cs="Arial"/>
          <w:b/>
          <w:i/>
          <w:sz w:val="20"/>
          <w:szCs w:val="20"/>
        </w:rPr>
        <w:t>and the Administration’s response to those recommendations.</w:t>
      </w:r>
      <w:r w:rsidR="00006C9C">
        <w:rPr>
          <w:rFonts w:ascii="Arial" w:hAnsi="Arial" w:cs="Arial"/>
          <w:sz w:val="20"/>
          <w:szCs w:val="20"/>
        </w:rPr>
        <w:t xml:space="preserve">  </w:t>
      </w:r>
      <w:r w:rsidR="00006C9C" w:rsidRPr="00735B01">
        <w:rPr>
          <w:rFonts w:ascii="Arial" w:hAnsi="Arial" w:cs="Arial"/>
          <w:sz w:val="20"/>
          <w:szCs w:val="20"/>
        </w:rPr>
        <w:t xml:space="preserve">SAC received this charge on January 23, with the sanguinary hope for resolution by March.  </w:t>
      </w:r>
      <w:r w:rsidR="00D92396" w:rsidRPr="00735B01">
        <w:rPr>
          <w:rFonts w:ascii="Arial" w:hAnsi="Arial" w:cs="Arial"/>
          <w:sz w:val="20"/>
          <w:szCs w:val="20"/>
        </w:rPr>
        <w:t xml:space="preserve">At the January SAC meeting, Josh Powers summarized this document’s subject </w:t>
      </w:r>
      <w:r w:rsidR="003E62D9" w:rsidRPr="00735B01">
        <w:rPr>
          <w:rFonts w:ascii="Arial" w:hAnsi="Arial" w:cs="Arial"/>
          <w:sz w:val="20"/>
          <w:szCs w:val="20"/>
        </w:rPr>
        <w:t>by noting that the</w:t>
      </w:r>
      <w:r w:rsidR="00D92396" w:rsidRPr="00735B01">
        <w:rPr>
          <w:rFonts w:ascii="Arial" w:hAnsi="Arial" w:cs="Arial"/>
          <w:sz w:val="20"/>
          <w:szCs w:val="20"/>
        </w:rPr>
        <w:t xml:space="preserve"> Administration supported the recommendation to not move forward with establishing a University sponsored textbook rental program, and endorsed recommendations 1, 2, 3, and 4. The Provost commended the </w:t>
      </w:r>
      <w:r w:rsidR="003E62D9" w:rsidRPr="00735B01">
        <w:rPr>
          <w:rFonts w:ascii="Arial" w:hAnsi="Arial" w:cs="Arial"/>
          <w:sz w:val="20"/>
          <w:szCs w:val="20"/>
        </w:rPr>
        <w:t>task force</w:t>
      </w:r>
      <w:r w:rsidR="00D92396" w:rsidRPr="00735B01">
        <w:rPr>
          <w:rFonts w:ascii="Arial" w:hAnsi="Arial" w:cs="Arial"/>
          <w:sz w:val="20"/>
          <w:szCs w:val="20"/>
        </w:rPr>
        <w:t xml:space="preserve"> for providing strong guidance to the campus and recommended that the University move as quickly as possible to implement all recommendations.</w:t>
      </w:r>
    </w:p>
    <w:p w:rsidR="00AC4D8B" w:rsidRDefault="00AC4D8B" w:rsidP="00AC4D8B">
      <w:pPr>
        <w:spacing w:after="200"/>
        <w:ind w:left="360"/>
        <w:rPr>
          <w:rFonts w:ascii="Arial" w:hAnsi="Arial" w:cs="Arial"/>
          <w:sz w:val="20"/>
          <w:szCs w:val="20"/>
        </w:rPr>
      </w:pPr>
      <w:r>
        <w:rPr>
          <w:rFonts w:ascii="Arial" w:hAnsi="Arial" w:cs="Arial"/>
          <w:sz w:val="20"/>
          <w:szCs w:val="20"/>
        </w:rPr>
        <w:t>At its March meeting, SAC considered the following set of recommendations:</w:t>
      </w:r>
    </w:p>
    <w:p w:rsidR="00AC4D8B" w:rsidRPr="0093581D" w:rsidRDefault="00AC4D8B" w:rsidP="00AC4D8B">
      <w:pPr>
        <w:pStyle w:val="BodyText"/>
        <w:ind w:left="360" w:firstLine="0"/>
        <w:rPr>
          <w:rFonts w:ascii="Arial" w:hAnsi="Arial" w:cs="Arial"/>
          <w:b/>
          <w:i/>
          <w:sz w:val="20"/>
        </w:rPr>
      </w:pPr>
      <w:r w:rsidRPr="0093581D">
        <w:rPr>
          <w:rFonts w:ascii="Arial" w:hAnsi="Arial" w:cs="Arial"/>
          <w:b/>
          <w:i/>
          <w:sz w:val="20"/>
        </w:rPr>
        <w:t>Recommendation #1:  Expand Textbook affordability education efforts to faculty &amp; students</w:t>
      </w:r>
    </w:p>
    <w:p w:rsidR="00AC4D8B" w:rsidRPr="00735B01" w:rsidRDefault="00AC4D8B" w:rsidP="00AC4D8B">
      <w:pPr>
        <w:pStyle w:val="BodyText"/>
        <w:ind w:left="360" w:firstLine="0"/>
        <w:rPr>
          <w:rFonts w:ascii="Arial" w:hAnsi="Arial" w:cs="Arial"/>
          <w:sz w:val="20"/>
        </w:rPr>
      </w:pPr>
      <w:r w:rsidRPr="00735B01">
        <w:rPr>
          <w:rFonts w:ascii="Arial" w:hAnsi="Arial" w:cs="Arial"/>
          <w:sz w:val="20"/>
        </w:rPr>
        <w:t>Reducing the overall costs of textbooks and other required course materials can be accomplished with thoughtful, systemic planning and aggressive communication to all constituents.  In addition to faculty designated advocates in each college, a more comprehensive communication plan and access to key dates and information, led by the University Bookstore, will further these efforts.</w:t>
      </w:r>
    </w:p>
    <w:p w:rsidR="00AC4D8B" w:rsidRPr="00735B01" w:rsidRDefault="00AC4D8B" w:rsidP="00AC4D8B">
      <w:pPr>
        <w:pStyle w:val="BodyText"/>
        <w:ind w:left="360" w:firstLine="0"/>
        <w:rPr>
          <w:rFonts w:ascii="Arial" w:hAnsi="Arial" w:cs="Arial"/>
          <w:sz w:val="20"/>
        </w:rPr>
      </w:pPr>
      <w:r w:rsidRPr="00735B01">
        <w:rPr>
          <w:rFonts w:ascii="Arial" w:hAnsi="Arial" w:cs="Arial"/>
          <w:sz w:val="20"/>
        </w:rPr>
        <w:t xml:space="preserve">In addition to the recommendation, additional communication and forums focused upon the availability, and costs associated with digital volumes, available both to the individual students through the University Bookstore, but also through digital download through the University Library are recommended.  </w:t>
      </w:r>
    </w:p>
    <w:p w:rsidR="00AC4D8B" w:rsidRPr="00945450" w:rsidRDefault="00AC4D8B" w:rsidP="00AC4D8B">
      <w:pPr>
        <w:pStyle w:val="BodyText"/>
        <w:ind w:left="360" w:firstLine="0"/>
        <w:rPr>
          <w:rFonts w:ascii="Arial" w:hAnsi="Arial" w:cs="Arial"/>
          <w:b/>
          <w:i/>
          <w:sz w:val="20"/>
        </w:rPr>
      </w:pPr>
      <w:r w:rsidRPr="00945450">
        <w:rPr>
          <w:rFonts w:ascii="Arial" w:hAnsi="Arial" w:cs="Arial"/>
          <w:b/>
          <w:i/>
          <w:sz w:val="20"/>
        </w:rPr>
        <w:t>Recommendation # 2: Continue to work closely with the ISU Bookstore to continue to expand rental opportunities for our students</w:t>
      </w:r>
    </w:p>
    <w:p w:rsidR="00AC4D8B" w:rsidRPr="00735B01" w:rsidRDefault="00735B01" w:rsidP="00AC4D8B">
      <w:pPr>
        <w:pStyle w:val="BodyText"/>
        <w:ind w:left="360" w:firstLine="0"/>
        <w:rPr>
          <w:rFonts w:ascii="Arial" w:hAnsi="Arial" w:cs="Arial"/>
          <w:sz w:val="20"/>
        </w:rPr>
      </w:pPr>
      <w:r>
        <w:rPr>
          <w:rFonts w:ascii="Arial" w:hAnsi="Arial" w:cs="Arial"/>
          <w:sz w:val="20"/>
        </w:rPr>
        <w:t>There are n</w:t>
      </w:r>
      <w:r w:rsidR="00AC4D8B" w:rsidRPr="00735B01">
        <w:rPr>
          <w:rFonts w:ascii="Arial" w:hAnsi="Arial" w:cs="Arial"/>
          <w:sz w:val="20"/>
        </w:rPr>
        <w:t>o additional recommendations to this topic at this time</w:t>
      </w:r>
      <w:r>
        <w:rPr>
          <w:rFonts w:ascii="Arial" w:hAnsi="Arial" w:cs="Arial"/>
          <w:sz w:val="20"/>
        </w:rPr>
        <w:t>.</w:t>
      </w:r>
    </w:p>
    <w:p w:rsidR="00945450" w:rsidRDefault="00945450">
      <w:pPr>
        <w:rPr>
          <w:rFonts w:asciiTheme="minorHAnsi" w:hAnsiTheme="minorHAnsi"/>
          <w:b/>
          <w:sz w:val="22"/>
          <w:szCs w:val="22"/>
        </w:rPr>
      </w:pPr>
      <w:r>
        <w:rPr>
          <w:b/>
          <w:szCs w:val="22"/>
        </w:rPr>
        <w:br w:type="page"/>
      </w:r>
    </w:p>
    <w:p w:rsidR="00AC4D8B" w:rsidRPr="00945450" w:rsidRDefault="00AC4D8B" w:rsidP="00AC4D8B">
      <w:pPr>
        <w:pStyle w:val="BodyText"/>
        <w:ind w:left="360" w:firstLine="0"/>
        <w:rPr>
          <w:rFonts w:ascii="Arial" w:hAnsi="Arial" w:cs="Arial"/>
          <w:b/>
          <w:i/>
          <w:sz w:val="20"/>
        </w:rPr>
      </w:pPr>
      <w:r w:rsidRPr="00945450">
        <w:rPr>
          <w:rFonts w:ascii="Arial" w:hAnsi="Arial" w:cs="Arial"/>
          <w:b/>
          <w:i/>
          <w:sz w:val="20"/>
        </w:rPr>
        <w:lastRenderedPageBreak/>
        <w:t>Recommendation # 3:  Refine University policies affecting textbook adoptions and affordability</w:t>
      </w:r>
    </w:p>
    <w:p w:rsidR="00AC4D8B" w:rsidRPr="00735B01" w:rsidRDefault="00AC4D8B" w:rsidP="00AC4D8B">
      <w:pPr>
        <w:pStyle w:val="BodyText"/>
        <w:ind w:left="360" w:firstLine="0"/>
        <w:rPr>
          <w:rFonts w:ascii="Arial" w:hAnsi="Arial" w:cs="Arial"/>
          <w:sz w:val="20"/>
        </w:rPr>
      </w:pPr>
      <w:r w:rsidRPr="00735B01">
        <w:rPr>
          <w:rFonts w:ascii="Arial" w:hAnsi="Arial" w:cs="Arial"/>
          <w:sz w:val="20"/>
        </w:rPr>
        <w:t xml:space="preserve">Faculty course assignments must be made with regard and consideration to established dates and deadlines.  With few exceptions, plans and notification of course assignments to individual faculty should be created to account for these procedural necessities.  </w:t>
      </w:r>
    </w:p>
    <w:p w:rsidR="00AC4D8B" w:rsidRPr="00735B01" w:rsidRDefault="00AC4D8B" w:rsidP="00AC4D8B">
      <w:pPr>
        <w:pStyle w:val="BodyText"/>
        <w:ind w:left="360" w:firstLine="0"/>
        <w:rPr>
          <w:rFonts w:ascii="Arial" w:hAnsi="Arial" w:cs="Arial"/>
          <w:sz w:val="20"/>
        </w:rPr>
      </w:pPr>
      <w:r w:rsidRPr="00735B01">
        <w:rPr>
          <w:rFonts w:ascii="Arial" w:hAnsi="Arial" w:cs="Arial"/>
          <w:sz w:val="20"/>
        </w:rPr>
        <w:t xml:space="preserve">In addition to the language outlined in the initial recommendation, specific inclusion of alternative options to book purchasing shall be included when considering textbook adoption.  </w:t>
      </w:r>
      <w:r w:rsidR="00490B31">
        <w:rPr>
          <w:rFonts w:ascii="Arial" w:hAnsi="Arial" w:cs="Arial"/>
          <w:sz w:val="20"/>
        </w:rPr>
        <w:t>Specific examples include</w:t>
      </w:r>
      <w:r w:rsidRPr="00735B01">
        <w:rPr>
          <w:rFonts w:ascii="Arial" w:hAnsi="Arial" w:cs="Arial"/>
          <w:sz w:val="20"/>
        </w:rPr>
        <w:t xml:space="preserve"> electronic texts, digital downloads, reserved library copies and other modalities.  </w:t>
      </w:r>
    </w:p>
    <w:p w:rsidR="00AC4D8B" w:rsidRPr="00735B01" w:rsidRDefault="00AC4D8B" w:rsidP="00AC4D8B">
      <w:pPr>
        <w:pStyle w:val="BodyText"/>
        <w:ind w:left="360" w:firstLine="0"/>
        <w:rPr>
          <w:rFonts w:ascii="Arial" w:hAnsi="Arial" w:cs="Arial"/>
          <w:sz w:val="20"/>
        </w:rPr>
      </w:pPr>
      <w:r w:rsidRPr="00735B01">
        <w:rPr>
          <w:rFonts w:ascii="Arial" w:hAnsi="Arial" w:cs="Arial"/>
          <w:sz w:val="20"/>
        </w:rPr>
        <w:t>Also, inclusion of additional members to the Textbook Oversight Committee should include a representative from the Library, a representative of the University College and consultation from University Bookstore.</w:t>
      </w:r>
    </w:p>
    <w:p w:rsidR="00AC4D8B" w:rsidRPr="00945450" w:rsidRDefault="00AC4D8B" w:rsidP="00AC4D8B">
      <w:pPr>
        <w:pStyle w:val="BodyText"/>
        <w:ind w:left="360" w:firstLine="0"/>
        <w:rPr>
          <w:rFonts w:ascii="Arial" w:hAnsi="Arial" w:cs="Arial"/>
          <w:b/>
          <w:i/>
          <w:sz w:val="20"/>
        </w:rPr>
      </w:pPr>
      <w:r w:rsidRPr="00945450">
        <w:rPr>
          <w:rFonts w:ascii="Arial" w:hAnsi="Arial" w:cs="Arial"/>
          <w:b/>
          <w:i/>
          <w:sz w:val="20"/>
        </w:rPr>
        <w:t>Recommendation #4:  Improve practices to assess the effectiveness of university processes to improve textbook affordability</w:t>
      </w:r>
    </w:p>
    <w:p w:rsidR="00AC4D8B" w:rsidRPr="00735B01" w:rsidRDefault="00AC4D8B" w:rsidP="00AC4D8B">
      <w:pPr>
        <w:pStyle w:val="BodyText"/>
        <w:ind w:left="360" w:firstLine="0"/>
        <w:rPr>
          <w:rFonts w:ascii="Arial" w:hAnsi="Arial" w:cs="Arial"/>
          <w:sz w:val="20"/>
        </w:rPr>
      </w:pPr>
      <w:r w:rsidRPr="00735B01">
        <w:rPr>
          <w:rFonts w:ascii="Arial" w:hAnsi="Arial" w:cs="Arial"/>
          <w:sz w:val="20"/>
        </w:rPr>
        <w:t>Annual reports and review of metrics should be made to SAC as well as the Textbook Oversight Committee to ensure further review and enhancements to both policies and practices of all groups concerned.</w:t>
      </w:r>
    </w:p>
    <w:p w:rsidR="00AC4D8B" w:rsidRPr="00735B01" w:rsidRDefault="00AC4D8B" w:rsidP="00AC4D8B">
      <w:pPr>
        <w:pStyle w:val="BodyText"/>
        <w:ind w:left="360" w:firstLine="0"/>
        <w:rPr>
          <w:rFonts w:ascii="Arial" w:hAnsi="Arial" w:cs="Arial"/>
          <w:sz w:val="20"/>
        </w:rPr>
      </w:pPr>
      <w:r w:rsidRPr="00735B01">
        <w:rPr>
          <w:rFonts w:ascii="Arial" w:hAnsi="Arial" w:cs="Arial"/>
          <w:sz w:val="20"/>
        </w:rPr>
        <w:t>At the February 27 SAC meeting, two more recommendations were added to the above memorandum.  There was also a request for more information</w:t>
      </w:r>
      <w:r w:rsidR="0093581D" w:rsidRPr="00735B01">
        <w:rPr>
          <w:rFonts w:ascii="Arial" w:hAnsi="Arial" w:cs="Arial"/>
          <w:sz w:val="20"/>
        </w:rPr>
        <w:t>, as indicated below</w:t>
      </w:r>
      <w:r w:rsidRPr="00735B01">
        <w:rPr>
          <w:rFonts w:ascii="Arial" w:hAnsi="Arial" w:cs="Arial"/>
          <w:sz w:val="20"/>
        </w:rPr>
        <w:t>.</w:t>
      </w:r>
    </w:p>
    <w:p w:rsidR="00AC4D8B" w:rsidRPr="00735B01" w:rsidRDefault="00AC4D8B" w:rsidP="00AC4D8B">
      <w:pPr>
        <w:pStyle w:val="BodyText"/>
        <w:ind w:left="360" w:firstLine="0"/>
        <w:rPr>
          <w:rFonts w:ascii="Arial" w:hAnsi="Arial" w:cs="Arial"/>
          <w:sz w:val="20"/>
        </w:rPr>
      </w:pPr>
      <w:r w:rsidRPr="00945450">
        <w:rPr>
          <w:rFonts w:ascii="Arial" w:hAnsi="Arial" w:cs="Arial"/>
          <w:b/>
          <w:i/>
          <w:sz w:val="20"/>
        </w:rPr>
        <w:t>Recommendation #5:</w:t>
      </w:r>
      <w:r>
        <w:rPr>
          <w:szCs w:val="22"/>
        </w:rPr>
        <w:t xml:space="preserve"> </w:t>
      </w:r>
      <w:r w:rsidRPr="00490B31">
        <w:rPr>
          <w:rFonts w:ascii="Arial" w:hAnsi="Arial" w:cs="Arial"/>
          <w:b/>
          <w:i/>
          <w:sz w:val="20"/>
        </w:rPr>
        <w:t>Remove any exclusivity or preferential contractual obligation with regard to the purchase of textbooks</w:t>
      </w:r>
      <w:r w:rsidRPr="00735B01">
        <w:rPr>
          <w:rFonts w:ascii="Arial" w:hAnsi="Arial" w:cs="Arial"/>
          <w:sz w:val="20"/>
        </w:rPr>
        <w:t xml:space="preserve">.  (SAC </w:t>
      </w:r>
      <w:r w:rsidR="00490B31">
        <w:rPr>
          <w:rFonts w:ascii="Arial" w:hAnsi="Arial" w:cs="Arial"/>
          <w:sz w:val="20"/>
        </w:rPr>
        <w:t>requests</w:t>
      </w:r>
      <w:r w:rsidRPr="00735B01">
        <w:rPr>
          <w:rFonts w:ascii="Arial" w:hAnsi="Arial" w:cs="Arial"/>
          <w:sz w:val="20"/>
        </w:rPr>
        <w:t xml:space="preserve"> a copy of any contract ISU has signed with the Bookstore.)</w:t>
      </w:r>
    </w:p>
    <w:p w:rsidR="00AC4D8B" w:rsidRDefault="00AC4D8B" w:rsidP="00AC4D8B">
      <w:pPr>
        <w:pStyle w:val="BodyText"/>
        <w:ind w:left="360" w:firstLine="0"/>
        <w:rPr>
          <w:szCs w:val="22"/>
        </w:rPr>
      </w:pPr>
      <w:r w:rsidRPr="00945450">
        <w:rPr>
          <w:rFonts w:ascii="Arial" w:hAnsi="Arial" w:cs="Arial"/>
          <w:b/>
          <w:i/>
          <w:sz w:val="20"/>
        </w:rPr>
        <w:t>Recommendation #6:</w:t>
      </w:r>
      <w:r>
        <w:rPr>
          <w:szCs w:val="22"/>
        </w:rPr>
        <w:t xml:space="preserve"> </w:t>
      </w:r>
      <w:r w:rsidRPr="00490B31">
        <w:rPr>
          <w:rFonts w:ascii="Arial" w:hAnsi="Arial" w:cs="Arial"/>
          <w:b/>
          <w:i/>
          <w:sz w:val="20"/>
        </w:rPr>
        <w:t>Allow stud</w:t>
      </w:r>
      <w:r w:rsidR="00490B31">
        <w:rPr>
          <w:rFonts w:ascii="Arial" w:hAnsi="Arial" w:cs="Arial"/>
          <w:b/>
          <w:i/>
          <w:sz w:val="20"/>
        </w:rPr>
        <w:t>ents to buy their books from a</w:t>
      </w:r>
      <w:r w:rsidRPr="00490B31">
        <w:rPr>
          <w:rFonts w:ascii="Arial" w:hAnsi="Arial" w:cs="Arial"/>
          <w:b/>
          <w:i/>
          <w:sz w:val="20"/>
        </w:rPr>
        <w:t xml:space="preserve"> legitimate vendor of their choosing, and, when possible, bill the cost of textbooks to their university account.</w:t>
      </w:r>
    </w:p>
    <w:p w:rsidR="00AC4D8B" w:rsidRPr="00735B01" w:rsidRDefault="00AC4D8B" w:rsidP="00735B01">
      <w:pPr>
        <w:pStyle w:val="BodyText"/>
        <w:ind w:left="360" w:firstLine="0"/>
        <w:rPr>
          <w:rFonts w:ascii="Arial" w:hAnsi="Arial" w:cs="Arial"/>
          <w:sz w:val="20"/>
        </w:rPr>
      </w:pPr>
      <w:r w:rsidRPr="00945450">
        <w:rPr>
          <w:rFonts w:ascii="Arial" w:hAnsi="Arial" w:cs="Arial"/>
          <w:b/>
          <w:i/>
          <w:sz w:val="20"/>
        </w:rPr>
        <w:t>Requested Information:</w:t>
      </w:r>
      <w:r>
        <w:rPr>
          <w:szCs w:val="22"/>
        </w:rPr>
        <w:t xml:space="preserve"> </w:t>
      </w:r>
      <w:r w:rsidRPr="00735B01">
        <w:rPr>
          <w:rFonts w:ascii="Arial" w:hAnsi="Arial" w:cs="Arial"/>
          <w:sz w:val="20"/>
        </w:rPr>
        <w:t xml:space="preserve">on p. 9 the Provost’s memo on the </w:t>
      </w:r>
      <w:proofErr w:type="gramStart"/>
      <w:r w:rsidRPr="00735B01">
        <w:rPr>
          <w:rFonts w:ascii="Arial" w:hAnsi="Arial" w:cs="Arial"/>
          <w:sz w:val="20"/>
        </w:rPr>
        <w:t>Taskforce  Recommendations</w:t>
      </w:r>
      <w:proofErr w:type="gramEnd"/>
      <w:r w:rsidRPr="00735B01">
        <w:rPr>
          <w:rFonts w:ascii="Arial" w:hAnsi="Arial" w:cs="Arial"/>
          <w:sz w:val="20"/>
        </w:rPr>
        <w:t xml:space="preserve"> (Recommendation 3: Refine university policies affecting textbook adoptions and affordability, second paragraph) </w:t>
      </w:r>
      <w:r w:rsidR="00490B31">
        <w:rPr>
          <w:rFonts w:ascii="Arial" w:hAnsi="Arial" w:cs="Arial"/>
          <w:sz w:val="20"/>
        </w:rPr>
        <w:t>states</w:t>
      </w:r>
      <w:r w:rsidRPr="00735B01">
        <w:rPr>
          <w:rFonts w:ascii="Arial" w:hAnsi="Arial" w:cs="Arial"/>
          <w:sz w:val="20"/>
        </w:rPr>
        <w:t xml:space="preserve"> that “the new policy…ensure that all students enrolled in a course use the same textbook.”  </w:t>
      </w:r>
      <w:proofErr w:type="gramStart"/>
      <w:r w:rsidRPr="00735B01">
        <w:rPr>
          <w:rFonts w:ascii="Arial" w:hAnsi="Arial" w:cs="Arial"/>
          <w:sz w:val="20"/>
        </w:rPr>
        <w:t>On p. 11 of the same document (Handbook language, item 3.b.)</w:t>
      </w:r>
      <w:proofErr w:type="gramEnd"/>
      <w:r w:rsidRPr="00735B01">
        <w:rPr>
          <w:rFonts w:ascii="Arial" w:hAnsi="Arial" w:cs="Arial"/>
          <w:sz w:val="20"/>
        </w:rPr>
        <w:t xml:space="preserve"> “If multiple faculty members teach sections of a course during the adoption period, the department faculty shall choose the textbook(s) for the course, subject to approval by the department chairperson.”  SAC is uncertain: does this language mandate that if multiple sections (with multiple instructors) of a course are taught, only one text (or set of texts) will be offered in each of the sections</w:t>
      </w:r>
      <w:r w:rsidR="00490B31">
        <w:rPr>
          <w:rFonts w:ascii="Arial" w:hAnsi="Arial" w:cs="Arial"/>
          <w:sz w:val="20"/>
        </w:rPr>
        <w:t>?</w:t>
      </w:r>
      <w:r w:rsidRPr="00735B01">
        <w:rPr>
          <w:rFonts w:ascii="Arial" w:hAnsi="Arial" w:cs="Arial"/>
          <w:sz w:val="20"/>
        </w:rPr>
        <w:t xml:space="preserve">  In other words, if BUS 180 has ten sections in spring 2013, being taught by five different instructors, must all instructors select the same text?  Some members of SAC believe that if such is the case, then the policy impinges on academic freedom.</w:t>
      </w:r>
    </w:p>
    <w:p w:rsidR="00735B01" w:rsidRDefault="00735B01" w:rsidP="00735B01">
      <w:pPr>
        <w:ind w:left="360"/>
        <w:rPr>
          <w:rFonts w:ascii="Arial" w:hAnsi="Arial" w:cs="Arial"/>
          <w:b/>
          <w:sz w:val="20"/>
          <w:szCs w:val="20"/>
        </w:rPr>
      </w:pPr>
    </w:p>
    <w:p w:rsidR="00AC4D8B" w:rsidRPr="0093581D" w:rsidRDefault="00AC4D8B" w:rsidP="00AC4D8B">
      <w:pPr>
        <w:spacing w:after="200"/>
        <w:ind w:left="360"/>
        <w:rPr>
          <w:rFonts w:ascii="Arial" w:hAnsi="Arial" w:cs="Arial"/>
          <w:b/>
          <w:sz w:val="20"/>
          <w:szCs w:val="20"/>
        </w:rPr>
      </w:pPr>
      <w:r w:rsidRPr="0093581D">
        <w:rPr>
          <w:rFonts w:ascii="Arial" w:hAnsi="Arial" w:cs="Arial"/>
          <w:b/>
          <w:sz w:val="20"/>
          <w:szCs w:val="20"/>
        </w:rPr>
        <w:t xml:space="preserve">Move to approve that the SAC recommendations as presented above be presented by the chair to the Faculty Senate Executive Committee and to the Faculty Senate: </w:t>
      </w:r>
      <w:proofErr w:type="spellStart"/>
      <w:r w:rsidRPr="0093581D">
        <w:rPr>
          <w:rFonts w:ascii="Arial" w:hAnsi="Arial" w:cs="Arial"/>
          <w:b/>
          <w:sz w:val="20"/>
          <w:szCs w:val="20"/>
        </w:rPr>
        <w:t>Ghosh</w:t>
      </w:r>
      <w:proofErr w:type="spellEnd"/>
      <w:r w:rsidRPr="0093581D">
        <w:rPr>
          <w:rFonts w:ascii="Arial" w:hAnsi="Arial" w:cs="Arial"/>
          <w:b/>
          <w:sz w:val="20"/>
          <w:szCs w:val="20"/>
        </w:rPr>
        <w:t xml:space="preserve">/Blevens. Motion passed. </w:t>
      </w:r>
      <w:proofErr w:type="gramStart"/>
      <w:r w:rsidRPr="0093581D">
        <w:rPr>
          <w:rFonts w:ascii="Arial" w:hAnsi="Arial" w:cs="Arial"/>
          <w:b/>
          <w:sz w:val="20"/>
          <w:szCs w:val="20"/>
        </w:rPr>
        <w:t>6-0-0.</w:t>
      </w:r>
      <w:proofErr w:type="gramEnd"/>
    </w:p>
    <w:p w:rsidR="00AC4D8B" w:rsidRPr="00735B01" w:rsidRDefault="00AC4D8B" w:rsidP="00AC4D8B">
      <w:pPr>
        <w:spacing w:after="200"/>
        <w:ind w:left="360"/>
        <w:rPr>
          <w:rFonts w:ascii="Arial" w:hAnsi="Arial" w:cs="Arial"/>
          <w:sz w:val="20"/>
          <w:szCs w:val="20"/>
        </w:rPr>
      </w:pPr>
      <w:r w:rsidRPr="00735B01">
        <w:rPr>
          <w:rFonts w:ascii="Arial" w:hAnsi="Arial" w:cs="Arial"/>
          <w:sz w:val="20"/>
          <w:szCs w:val="20"/>
        </w:rPr>
        <w:t xml:space="preserve">Because </w:t>
      </w:r>
      <w:r w:rsidR="00BA7ABE" w:rsidRPr="00735B01">
        <w:rPr>
          <w:rFonts w:ascii="Arial" w:hAnsi="Arial" w:cs="Arial"/>
          <w:sz w:val="20"/>
          <w:szCs w:val="20"/>
        </w:rPr>
        <w:t>an</w:t>
      </w:r>
      <w:r w:rsidRPr="00735B01">
        <w:rPr>
          <w:rFonts w:ascii="Arial" w:hAnsi="Arial" w:cs="Arial"/>
          <w:sz w:val="20"/>
          <w:szCs w:val="20"/>
        </w:rPr>
        <w:t xml:space="preserve">other Senate Standing Committee </w:t>
      </w:r>
      <w:r w:rsidR="00B554F2" w:rsidRPr="00735B01">
        <w:rPr>
          <w:rFonts w:ascii="Arial" w:hAnsi="Arial" w:cs="Arial"/>
          <w:sz w:val="20"/>
          <w:szCs w:val="20"/>
        </w:rPr>
        <w:t xml:space="preserve">(Faculty Affairs Committee) </w:t>
      </w:r>
      <w:r w:rsidRPr="00735B01">
        <w:rPr>
          <w:rFonts w:ascii="Arial" w:hAnsi="Arial" w:cs="Arial"/>
          <w:sz w:val="20"/>
          <w:szCs w:val="20"/>
        </w:rPr>
        <w:t>w</w:t>
      </w:r>
      <w:r w:rsidR="00BA7ABE" w:rsidRPr="00735B01">
        <w:rPr>
          <w:rFonts w:ascii="Arial" w:hAnsi="Arial" w:cs="Arial"/>
          <w:sz w:val="20"/>
          <w:szCs w:val="20"/>
        </w:rPr>
        <w:t>as</w:t>
      </w:r>
      <w:r w:rsidRPr="00735B01">
        <w:rPr>
          <w:rFonts w:ascii="Arial" w:hAnsi="Arial" w:cs="Arial"/>
          <w:sz w:val="20"/>
          <w:szCs w:val="20"/>
        </w:rPr>
        <w:t xml:space="preserve"> also reviewing </w:t>
      </w:r>
      <w:proofErr w:type="gramStart"/>
      <w:r w:rsidRPr="00735B01">
        <w:rPr>
          <w:rFonts w:ascii="Arial" w:hAnsi="Arial" w:cs="Arial"/>
          <w:sz w:val="20"/>
          <w:szCs w:val="20"/>
        </w:rPr>
        <w:t>this</w:t>
      </w:r>
      <w:proofErr w:type="gramEnd"/>
      <w:r w:rsidRPr="00735B01">
        <w:rPr>
          <w:rFonts w:ascii="Arial" w:hAnsi="Arial" w:cs="Arial"/>
          <w:sz w:val="20"/>
          <w:szCs w:val="20"/>
        </w:rPr>
        <w:t xml:space="preserve"> report/recommendations, Senate action was not forthcoming until a late April Senate meeting.  At this meeting, action on </w:t>
      </w:r>
      <w:r w:rsidR="008E45A1" w:rsidRPr="00735B01">
        <w:rPr>
          <w:rFonts w:ascii="Arial" w:hAnsi="Arial" w:cs="Arial"/>
          <w:sz w:val="20"/>
          <w:szCs w:val="20"/>
        </w:rPr>
        <w:t>Senate</w:t>
      </w:r>
      <w:r w:rsidRPr="00735B01">
        <w:rPr>
          <w:rFonts w:ascii="Arial" w:hAnsi="Arial" w:cs="Arial"/>
          <w:sz w:val="20"/>
          <w:szCs w:val="20"/>
        </w:rPr>
        <w:t xml:space="preserve"> recommendations was postponed until next year.</w:t>
      </w:r>
    </w:p>
    <w:p w:rsidR="00AC4D8B" w:rsidRDefault="00BA7ABE" w:rsidP="00B01BFA">
      <w:pPr>
        <w:pStyle w:val="ListParagraph"/>
        <w:numPr>
          <w:ilvl w:val="0"/>
          <w:numId w:val="22"/>
        </w:numPr>
        <w:spacing w:after="200"/>
        <w:ind w:left="360"/>
        <w:rPr>
          <w:rFonts w:ascii="Arial" w:hAnsi="Arial" w:cs="Arial"/>
          <w:sz w:val="20"/>
          <w:szCs w:val="20"/>
        </w:rPr>
      </w:pPr>
      <w:r w:rsidRPr="00CB04E9">
        <w:rPr>
          <w:rFonts w:ascii="Arial" w:hAnsi="Arial" w:cs="Arial"/>
          <w:b/>
          <w:i/>
          <w:sz w:val="20"/>
          <w:szCs w:val="20"/>
        </w:rPr>
        <w:t>Review the University College Task Force Recommendation and the Administration’s response to those recommendations</w:t>
      </w:r>
      <w:r w:rsidR="00B554F2" w:rsidRPr="00CB04E9">
        <w:rPr>
          <w:rFonts w:ascii="Arial" w:hAnsi="Arial" w:cs="Arial"/>
          <w:b/>
          <w:i/>
          <w:sz w:val="20"/>
          <w:szCs w:val="20"/>
        </w:rPr>
        <w:t>.</w:t>
      </w:r>
      <w:r w:rsidR="00B554F2">
        <w:t xml:space="preserve">  </w:t>
      </w:r>
      <w:r w:rsidR="00B554F2">
        <w:rPr>
          <w:rFonts w:ascii="Arial" w:hAnsi="Arial" w:cs="Arial"/>
          <w:sz w:val="20"/>
          <w:szCs w:val="20"/>
        </w:rPr>
        <w:t xml:space="preserve">SAC received this charge on January 23.  Josh Powers summarized the document, </w:t>
      </w:r>
      <w:r w:rsidR="00B554F2" w:rsidRPr="00B554F2">
        <w:rPr>
          <w:rFonts w:ascii="Arial" w:hAnsi="Arial" w:cs="Arial"/>
          <w:sz w:val="20"/>
          <w:szCs w:val="20"/>
        </w:rPr>
        <w:t xml:space="preserve">wherein the Provost identified two concerns related to the recommendations, asking that they be addressed: the critical need to resolve the issue related to </w:t>
      </w:r>
      <w:r w:rsidR="00B554F2" w:rsidRPr="00B554F2">
        <w:rPr>
          <w:rFonts w:ascii="Arial" w:hAnsi="Arial" w:cs="Arial"/>
          <w:sz w:val="20"/>
          <w:szCs w:val="20"/>
        </w:rPr>
        <w:lastRenderedPageBreak/>
        <w:t>“Governance” for the college, and his concern that the recommendation on the relationship of the University College Dean, Department Chairpersons, and Academic Deans did not provide sufficient authority to the University College Dean to ensure that courses delivered to first-year students are of the highest quality. He supported the concept that the Department Chairperson, Academic Dean, and University College Dean work together on the issue but should no resolution be reached, that the University College Dean be granted authority.</w:t>
      </w:r>
    </w:p>
    <w:p w:rsidR="00B554F2" w:rsidRDefault="00B554F2" w:rsidP="00B554F2">
      <w:pPr>
        <w:pStyle w:val="ListParagraph"/>
        <w:spacing w:line="276" w:lineRule="auto"/>
        <w:ind w:left="1080"/>
        <w:rPr>
          <w:rFonts w:ascii="Arial" w:hAnsi="Arial" w:cs="Arial"/>
          <w:sz w:val="20"/>
          <w:szCs w:val="20"/>
        </w:rPr>
      </w:pPr>
    </w:p>
    <w:p w:rsidR="00B554F2" w:rsidRPr="00001C2C" w:rsidRDefault="00B554F2" w:rsidP="005B28D4">
      <w:pPr>
        <w:pStyle w:val="ListParagraph"/>
        <w:spacing w:line="276" w:lineRule="auto"/>
        <w:ind w:left="360"/>
      </w:pPr>
      <w:r>
        <w:rPr>
          <w:rFonts w:ascii="Arial" w:hAnsi="Arial" w:cs="Arial"/>
          <w:sz w:val="20"/>
          <w:szCs w:val="20"/>
        </w:rPr>
        <w:t xml:space="preserve">At its March meeting, </w:t>
      </w:r>
      <w:r w:rsidRPr="00B554F2">
        <w:rPr>
          <w:rFonts w:ascii="Arial" w:hAnsi="Arial" w:cs="Arial"/>
          <w:sz w:val="20"/>
          <w:szCs w:val="20"/>
        </w:rPr>
        <w:t>Dean Linda Maule addressed SAC concerns regarding granting the University College Dean the authority to determine the quality of first-year offerings should a disagreement arise among the UC Dean, Academic Deans, and Department Chairs. As one individual put it—content is the purview of the college. Dean Maule emphasized that concerns addressed in the memo, specifically a need to resolve the issue related to “governance” for the college and the “relationship of the University College Dean, Department Chairpersons, and Academic Deans,” were expressed by Provost Maynard. CAAC reviewed the issues and recommended what Dean Maule described as “a middle ground approach” wherein all administrators work collaboratively to resolve issues but if a resolution is not forthcoming, the Provost will be the final authority.</w:t>
      </w:r>
      <w:r w:rsidRPr="00001C2C">
        <w:rPr>
          <w:b/>
        </w:rPr>
        <w:t xml:space="preserve"> </w:t>
      </w:r>
      <w:r w:rsidRPr="0093581D">
        <w:rPr>
          <w:rFonts w:ascii="Arial" w:hAnsi="Arial" w:cs="Arial"/>
          <w:b/>
          <w:sz w:val="20"/>
          <w:szCs w:val="20"/>
        </w:rPr>
        <w:t xml:space="preserve">Move that SAC endorse this middle ground approach: McMullen/Arrington-Bey. Motion passed. </w:t>
      </w:r>
      <w:proofErr w:type="gramStart"/>
      <w:r w:rsidRPr="0093581D">
        <w:rPr>
          <w:rFonts w:ascii="Arial" w:hAnsi="Arial" w:cs="Arial"/>
          <w:b/>
          <w:sz w:val="20"/>
          <w:szCs w:val="20"/>
        </w:rPr>
        <w:t>6-0-0.</w:t>
      </w:r>
      <w:proofErr w:type="gramEnd"/>
    </w:p>
    <w:p w:rsidR="00B554F2" w:rsidRDefault="00B554F2" w:rsidP="005B28D4">
      <w:pPr>
        <w:ind w:left="360"/>
        <w:rPr>
          <w:rFonts w:ascii="Arial" w:hAnsi="Arial" w:cs="Arial"/>
          <w:sz w:val="20"/>
          <w:szCs w:val="20"/>
        </w:rPr>
      </w:pPr>
    </w:p>
    <w:p w:rsidR="005B28D4" w:rsidRDefault="005B28D4" w:rsidP="00B554F2">
      <w:pPr>
        <w:spacing w:after="200"/>
        <w:ind w:left="360"/>
        <w:rPr>
          <w:rFonts w:ascii="Arial" w:hAnsi="Arial" w:cs="Arial"/>
          <w:sz w:val="20"/>
          <w:szCs w:val="20"/>
        </w:rPr>
      </w:pPr>
      <w:r>
        <w:rPr>
          <w:rFonts w:ascii="Arial" w:hAnsi="Arial" w:cs="Arial"/>
          <w:sz w:val="20"/>
          <w:szCs w:val="20"/>
        </w:rPr>
        <w:t>Because two other Senate Standing Committees (FAC and CAAC) were also considering the recommendations, the Faculty Senate postponed action on this issue until the April 30 meeting.</w:t>
      </w:r>
    </w:p>
    <w:p w:rsidR="00D44B59" w:rsidRDefault="005B28D4" w:rsidP="00B01BFA">
      <w:pPr>
        <w:pStyle w:val="ListParagraph"/>
        <w:numPr>
          <w:ilvl w:val="0"/>
          <w:numId w:val="22"/>
        </w:numPr>
        <w:spacing w:after="200"/>
        <w:ind w:left="360"/>
        <w:rPr>
          <w:rFonts w:ascii="Arial" w:hAnsi="Arial" w:cs="Arial"/>
          <w:sz w:val="20"/>
          <w:szCs w:val="20"/>
        </w:rPr>
      </w:pPr>
      <w:r w:rsidRPr="00CB04E9">
        <w:rPr>
          <w:rFonts w:ascii="Arial" w:hAnsi="Arial" w:cs="Arial"/>
          <w:b/>
          <w:i/>
          <w:sz w:val="20"/>
          <w:szCs w:val="20"/>
        </w:rPr>
        <w:t>Modification of Transfer Policy.</w:t>
      </w:r>
      <w:r>
        <w:rPr>
          <w:rFonts w:ascii="Arial" w:hAnsi="Arial" w:cs="Arial"/>
          <w:sz w:val="20"/>
          <w:szCs w:val="20"/>
        </w:rPr>
        <w:t xml:space="preserve"> </w:t>
      </w:r>
      <w:r w:rsidR="00D44B59">
        <w:rPr>
          <w:rFonts w:ascii="Arial" w:hAnsi="Arial" w:cs="Arial"/>
          <w:sz w:val="20"/>
          <w:szCs w:val="20"/>
        </w:rPr>
        <w:t xml:space="preserve"> At its February meeting, the University Athletic Committee asked SAC to consider ISU’s transfer policy.  John </w:t>
      </w:r>
      <w:r w:rsidR="00D44B59" w:rsidRPr="00D44B59">
        <w:rPr>
          <w:rFonts w:ascii="Arial" w:hAnsi="Arial" w:cs="Arial"/>
          <w:sz w:val="20"/>
          <w:szCs w:val="20"/>
        </w:rPr>
        <w:t xml:space="preserve">Conant, Dechausay, and McMullen reported that ISU may be losing potential transfer students because ISU’s current transfer policy is more stringent than competitors by excluding grades below C. Dechausay suggested looking at a model similar to Bradley or Eastern Illinois where grades are accepted below C if cumulative GPA is 2.0. Conant reported that </w:t>
      </w:r>
      <w:r w:rsidR="00490B31">
        <w:rPr>
          <w:rFonts w:ascii="Arial" w:hAnsi="Arial" w:cs="Arial"/>
          <w:sz w:val="20"/>
          <w:szCs w:val="20"/>
        </w:rPr>
        <w:t xml:space="preserve">the </w:t>
      </w:r>
      <w:r w:rsidR="00D44B59" w:rsidRPr="00D44B59">
        <w:rPr>
          <w:rFonts w:ascii="Arial" w:hAnsi="Arial" w:cs="Arial"/>
          <w:sz w:val="20"/>
          <w:szCs w:val="20"/>
        </w:rPr>
        <w:t xml:space="preserve">UAC passed a proposal to accept transfer credit for students with an overall GPA of 2.5 including D, D+, and C-. A sub-committee was formed to review the proposal from </w:t>
      </w:r>
      <w:r w:rsidR="00490B31">
        <w:rPr>
          <w:rFonts w:ascii="Arial" w:hAnsi="Arial" w:cs="Arial"/>
          <w:sz w:val="20"/>
          <w:szCs w:val="20"/>
        </w:rPr>
        <w:t xml:space="preserve">the </w:t>
      </w:r>
      <w:r w:rsidR="00D44B59" w:rsidRPr="00D44B59">
        <w:rPr>
          <w:rFonts w:ascii="Arial" w:hAnsi="Arial" w:cs="Arial"/>
          <w:sz w:val="20"/>
          <w:szCs w:val="20"/>
        </w:rPr>
        <w:t xml:space="preserve">UAC and present a proposal at the next meeting to implement for </w:t>
      </w:r>
      <w:proofErr w:type="gramStart"/>
      <w:r w:rsidR="00D44B59" w:rsidRPr="00D44B59">
        <w:rPr>
          <w:rFonts w:ascii="Arial" w:hAnsi="Arial" w:cs="Arial"/>
          <w:sz w:val="20"/>
          <w:szCs w:val="20"/>
        </w:rPr>
        <w:t>Fall</w:t>
      </w:r>
      <w:proofErr w:type="gramEnd"/>
      <w:r w:rsidR="00D44B59" w:rsidRPr="00D44B59">
        <w:rPr>
          <w:rFonts w:ascii="Arial" w:hAnsi="Arial" w:cs="Arial"/>
          <w:sz w:val="20"/>
          <w:szCs w:val="20"/>
        </w:rPr>
        <w:t xml:space="preserve"> 2013. Sub-committee members: McMullen (chair), Coldren, Dechausay, Thacker, and Waldron.</w:t>
      </w:r>
    </w:p>
    <w:p w:rsidR="00123304" w:rsidRPr="00B84B5A" w:rsidRDefault="00D44B59" w:rsidP="00D44B59">
      <w:pPr>
        <w:spacing w:after="200"/>
        <w:ind w:left="360"/>
        <w:rPr>
          <w:rFonts w:ascii="Arial" w:hAnsi="Arial" w:cs="Arial"/>
          <w:b/>
          <w:sz w:val="20"/>
          <w:szCs w:val="20"/>
        </w:rPr>
      </w:pPr>
      <w:r>
        <w:rPr>
          <w:rFonts w:ascii="Arial" w:hAnsi="Arial" w:cs="Arial"/>
          <w:sz w:val="20"/>
          <w:szCs w:val="20"/>
        </w:rPr>
        <w:t xml:space="preserve">At its March meeting, SAC considered a survey of peer institutions and the attached recommendation (see </w:t>
      </w:r>
      <w:r w:rsidR="00490B31">
        <w:rPr>
          <w:rFonts w:ascii="Arial" w:hAnsi="Arial" w:cs="Arial"/>
          <w:sz w:val="20"/>
          <w:szCs w:val="20"/>
        </w:rPr>
        <w:t>file 4:</w:t>
      </w:r>
      <w:r>
        <w:rPr>
          <w:rFonts w:ascii="Arial" w:hAnsi="Arial" w:cs="Arial"/>
          <w:sz w:val="20"/>
          <w:szCs w:val="20"/>
        </w:rPr>
        <w:t xml:space="preserve"> “Transfer Policy Change</w:t>
      </w:r>
      <w:r w:rsidR="00490B31">
        <w:rPr>
          <w:rFonts w:ascii="Arial" w:hAnsi="Arial" w:cs="Arial"/>
          <w:sz w:val="20"/>
          <w:szCs w:val="20"/>
        </w:rPr>
        <w:t>—Survey” W</w:t>
      </w:r>
      <w:r w:rsidR="00123304">
        <w:rPr>
          <w:rFonts w:ascii="Arial" w:hAnsi="Arial" w:cs="Arial"/>
          <w:sz w:val="20"/>
          <w:szCs w:val="20"/>
        </w:rPr>
        <w:t xml:space="preserve">ord file and </w:t>
      </w:r>
      <w:r w:rsidR="00490B31">
        <w:rPr>
          <w:rFonts w:ascii="Arial" w:hAnsi="Arial" w:cs="Arial"/>
          <w:sz w:val="20"/>
          <w:szCs w:val="20"/>
        </w:rPr>
        <w:t>file 5:</w:t>
      </w:r>
      <w:r w:rsidR="00123304">
        <w:rPr>
          <w:rFonts w:ascii="Arial" w:hAnsi="Arial" w:cs="Arial"/>
          <w:sz w:val="20"/>
          <w:szCs w:val="20"/>
        </w:rPr>
        <w:t xml:space="preserve"> “</w:t>
      </w:r>
      <w:proofErr w:type="spellStart"/>
      <w:r w:rsidR="00123304">
        <w:rPr>
          <w:rFonts w:ascii="Arial" w:hAnsi="Arial" w:cs="Arial"/>
          <w:sz w:val="20"/>
          <w:szCs w:val="20"/>
        </w:rPr>
        <w:t>Tranfer</w:t>
      </w:r>
      <w:proofErr w:type="spellEnd"/>
      <w:r w:rsidR="00123304">
        <w:rPr>
          <w:rFonts w:ascii="Arial" w:hAnsi="Arial" w:cs="Arial"/>
          <w:sz w:val="20"/>
          <w:szCs w:val="20"/>
        </w:rPr>
        <w:t xml:space="preserve"> Credit Policy Modification Proposal” </w:t>
      </w:r>
      <w:proofErr w:type="spellStart"/>
      <w:r w:rsidR="00123304">
        <w:rPr>
          <w:rFonts w:ascii="Arial" w:hAnsi="Arial" w:cs="Arial"/>
          <w:sz w:val="20"/>
          <w:szCs w:val="20"/>
        </w:rPr>
        <w:t>pdf</w:t>
      </w:r>
      <w:proofErr w:type="spellEnd"/>
      <w:r w:rsidR="00123304">
        <w:rPr>
          <w:rFonts w:ascii="Arial" w:hAnsi="Arial" w:cs="Arial"/>
          <w:sz w:val="20"/>
          <w:szCs w:val="20"/>
        </w:rPr>
        <w:t xml:space="preserve"> file).  </w:t>
      </w:r>
      <w:r w:rsidR="00123304" w:rsidRPr="00B84B5A">
        <w:rPr>
          <w:rFonts w:ascii="Arial" w:hAnsi="Arial" w:cs="Arial"/>
          <w:b/>
          <w:sz w:val="20"/>
          <w:szCs w:val="20"/>
        </w:rPr>
        <w:t xml:space="preserve">Move to accept the subcommittee’s report: Thacker/McMullen. Motion passed. </w:t>
      </w:r>
      <w:proofErr w:type="gramStart"/>
      <w:r w:rsidR="00123304" w:rsidRPr="00B84B5A">
        <w:rPr>
          <w:rFonts w:ascii="Arial" w:hAnsi="Arial" w:cs="Arial"/>
          <w:b/>
          <w:sz w:val="20"/>
          <w:szCs w:val="20"/>
        </w:rPr>
        <w:t>5-0-0.</w:t>
      </w:r>
      <w:proofErr w:type="gramEnd"/>
    </w:p>
    <w:p w:rsidR="00B84B5A" w:rsidRPr="00B84B5A" w:rsidRDefault="00B84B5A" w:rsidP="00B84B5A">
      <w:pPr>
        <w:ind w:left="360"/>
        <w:rPr>
          <w:rFonts w:ascii="Arial" w:hAnsi="Arial" w:cs="Arial"/>
          <w:color w:val="000000"/>
          <w:sz w:val="20"/>
          <w:szCs w:val="20"/>
        </w:rPr>
      </w:pPr>
      <w:r>
        <w:rPr>
          <w:rFonts w:ascii="Arial" w:hAnsi="Arial" w:cs="Arial"/>
          <w:color w:val="000000"/>
          <w:sz w:val="20"/>
          <w:szCs w:val="20"/>
        </w:rPr>
        <w:t>SAC’s recommendation</w:t>
      </w:r>
      <w:r w:rsidRPr="00B84B5A">
        <w:rPr>
          <w:rFonts w:ascii="Arial" w:hAnsi="Arial" w:cs="Arial"/>
          <w:color w:val="000000"/>
          <w:sz w:val="20"/>
          <w:szCs w:val="20"/>
        </w:rPr>
        <w:t xml:space="preserve"> was tabled </w:t>
      </w:r>
      <w:r>
        <w:rPr>
          <w:rFonts w:ascii="Arial" w:hAnsi="Arial" w:cs="Arial"/>
          <w:color w:val="000000"/>
          <w:sz w:val="20"/>
          <w:szCs w:val="20"/>
        </w:rPr>
        <w:t>by the Executive Committee</w:t>
      </w:r>
      <w:r w:rsidRPr="00B84B5A">
        <w:rPr>
          <w:rFonts w:ascii="Arial" w:hAnsi="Arial" w:cs="Arial"/>
          <w:color w:val="000000"/>
          <w:sz w:val="20"/>
          <w:szCs w:val="20"/>
        </w:rPr>
        <w:t xml:space="preserve"> at the request of </w:t>
      </w:r>
      <w:r>
        <w:rPr>
          <w:rFonts w:ascii="Arial" w:hAnsi="Arial" w:cs="Arial"/>
          <w:color w:val="000000"/>
          <w:sz w:val="20"/>
          <w:szCs w:val="20"/>
        </w:rPr>
        <w:t>Provost</w:t>
      </w:r>
      <w:r w:rsidRPr="00B84B5A">
        <w:rPr>
          <w:rFonts w:ascii="Arial" w:hAnsi="Arial" w:cs="Arial"/>
          <w:color w:val="000000"/>
          <w:sz w:val="20"/>
          <w:szCs w:val="20"/>
        </w:rPr>
        <w:t xml:space="preserve"> Maynard to learn more about how this might impact the Statewide General Education Transfer Core. </w:t>
      </w:r>
      <w:r>
        <w:rPr>
          <w:rFonts w:ascii="Arial" w:hAnsi="Arial" w:cs="Arial"/>
          <w:color w:val="000000"/>
          <w:sz w:val="20"/>
          <w:szCs w:val="20"/>
        </w:rPr>
        <w:t>Susan Powers informed the Provost</w:t>
      </w:r>
      <w:r w:rsidRPr="00B84B5A">
        <w:rPr>
          <w:rFonts w:ascii="Arial" w:hAnsi="Arial" w:cs="Arial"/>
          <w:color w:val="000000"/>
          <w:sz w:val="20"/>
          <w:szCs w:val="20"/>
        </w:rPr>
        <w:t xml:space="preserve"> and SAC that the statewide leadership team came to a common understanding about work that would considered acceptable in the general education.  An institution could certify that a student had completed a core at the home institution in whatever way they deemed acceptable – dual credit, AP, D- and up if the institution considers that passing, and transfer work from other institution</w:t>
      </w:r>
      <w:r>
        <w:rPr>
          <w:rFonts w:ascii="Arial" w:hAnsi="Arial" w:cs="Arial"/>
          <w:color w:val="000000"/>
          <w:sz w:val="20"/>
          <w:szCs w:val="20"/>
        </w:rPr>
        <w:t>s, because</w:t>
      </w:r>
      <w:r w:rsidRPr="00B84B5A">
        <w:rPr>
          <w:rFonts w:ascii="Arial" w:hAnsi="Arial" w:cs="Arial"/>
          <w:color w:val="000000"/>
          <w:sz w:val="20"/>
          <w:szCs w:val="20"/>
        </w:rPr>
        <w:t xml:space="preserve"> none of the state institutions accept transfer work below a C, including Ivy Tech. With those criteria in place, the transfer institution will accept as block credit the general education transfer core from the home (original) institution, but not the classes.  This is h</w:t>
      </w:r>
      <w:r w:rsidR="00490B31">
        <w:rPr>
          <w:rFonts w:ascii="Arial" w:hAnsi="Arial" w:cs="Arial"/>
          <w:color w:val="000000"/>
          <w:sz w:val="20"/>
          <w:szCs w:val="20"/>
        </w:rPr>
        <w:t>ow we handle the AA, AS and AAS</w:t>
      </w:r>
      <w:r w:rsidRPr="00B84B5A">
        <w:rPr>
          <w:rFonts w:ascii="Arial" w:hAnsi="Arial" w:cs="Arial"/>
          <w:color w:val="000000"/>
          <w:sz w:val="20"/>
          <w:szCs w:val="20"/>
        </w:rPr>
        <w:t xml:space="preserve"> block credit regardless of grade, but not the classes themselves</w:t>
      </w:r>
      <w:r w:rsidR="00490B31">
        <w:rPr>
          <w:rFonts w:ascii="Arial" w:hAnsi="Arial" w:cs="Arial"/>
          <w:color w:val="000000"/>
          <w:sz w:val="20"/>
          <w:szCs w:val="20"/>
        </w:rPr>
        <w:t xml:space="preserve"> if</w:t>
      </w:r>
      <w:r w:rsidRPr="00B84B5A">
        <w:rPr>
          <w:rFonts w:ascii="Arial" w:hAnsi="Arial" w:cs="Arial"/>
          <w:color w:val="000000"/>
          <w:sz w:val="20"/>
          <w:szCs w:val="20"/>
        </w:rPr>
        <w:t xml:space="preserve"> below C. If </w:t>
      </w:r>
      <w:r>
        <w:rPr>
          <w:rFonts w:ascii="Arial" w:hAnsi="Arial" w:cs="Arial"/>
          <w:color w:val="000000"/>
          <w:sz w:val="20"/>
          <w:szCs w:val="20"/>
        </w:rPr>
        <w:t>ISU</w:t>
      </w:r>
      <w:r w:rsidRPr="00B84B5A">
        <w:rPr>
          <w:rFonts w:ascii="Arial" w:hAnsi="Arial" w:cs="Arial"/>
          <w:color w:val="000000"/>
          <w:sz w:val="20"/>
          <w:szCs w:val="20"/>
        </w:rPr>
        <w:t xml:space="preserve"> change</w:t>
      </w:r>
      <w:r>
        <w:rPr>
          <w:rFonts w:ascii="Arial" w:hAnsi="Arial" w:cs="Arial"/>
          <w:color w:val="000000"/>
          <w:sz w:val="20"/>
          <w:szCs w:val="20"/>
        </w:rPr>
        <w:t>s</w:t>
      </w:r>
      <w:r w:rsidRPr="00B84B5A">
        <w:rPr>
          <w:rFonts w:ascii="Arial" w:hAnsi="Arial" w:cs="Arial"/>
          <w:color w:val="000000"/>
          <w:sz w:val="20"/>
          <w:szCs w:val="20"/>
        </w:rPr>
        <w:t xml:space="preserve"> </w:t>
      </w:r>
      <w:r>
        <w:rPr>
          <w:rFonts w:ascii="Arial" w:hAnsi="Arial" w:cs="Arial"/>
          <w:color w:val="000000"/>
          <w:sz w:val="20"/>
          <w:szCs w:val="20"/>
        </w:rPr>
        <w:t>its</w:t>
      </w:r>
      <w:r w:rsidRPr="00B84B5A">
        <w:rPr>
          <w:rFonts w:ascii="Arial" w:hAnsi="Arial" w:cs="Arial"/>
          <w:color w:val="000000"/>
          <w:sz w:val="20"/>
          <w:szCs w:val="20"/>
        </w:rPr>
        <w:t xml:space="preserve"> transfer policy, we may have to change the university policy to a C or bet</w:t>
      </w:r>
      <w:r>
        <w:rPr>
          <w:rFonts w:ascii="Arial" w:hAnsi="Arial" w:cs="Arial"/>
          <w:color w:val="000000"/>
          <w:sz w:val="20"/>
          <w:szCs w:val="20"/>
        </w:rPr>
        <w:t>ter being</w:t>
      </w:r>
      <w:r w:rsidRPr="00B84B5A">
        <w:rPr>
          <w:rFonts w:ascii="Arial" w:hAnsi="Arial" w:cs="Arial"/>
          <w:color w:val="000000"/>
          <w:sz w:val="20"/>
          <w:szCs w:val="20"/>
        </w:rPr>
        <w:t xml:space="preserve"> required in the transfer block, and that </w:t>
      </w:r>
      <w:r>
        <w:rPr>
          <w:rFonts w:ascii="Arial" w:hAnsi="Arial" w:cs="Arial"/>
          <w:color w:val="000000"/>
          <w:sz w:val="20"/>
          <w:szCs w:val="20"/>
        </w:rPr>
        <w:t>would</w:t>
      </w:r>
      <w:r w:rsidRPr="00B84B5A">
        <w:rPr>
          <w:rFonts w:ascii="Arial" w:hAnsi="Arial" w:cs="Arial"/>
          <w:color w:val="000000"/>
          <w:sz w:val="20"/>
          <w:szCs w:val="20"/>
        </w:rPr>
        <w:t xml:space="preserve"> be disastrous </w:t>
      </w:r>
      <w:r w:rsidR="00490B31">
        <w:rPr>
          <w:rFonts w:ascii="Arial" w:hAnsi="Arial" w:cs="Arial"/>
          <w:color w:val="000000"/>
          <w:sz w:val="20"/>
          <w:szCs w:val="20"/>
        </w:rPr>
        <w:t>to</w:t>
      </w:r>
      <w:r w:rsidRPr="00B84B5A">
        <w:rPr>
          <w:rFonts w:ascii="Arial" w:hAnsi="Arial" w:cs="Arial"/>
          <w:color w:val="000000"/>
          <w:sz w:val="20"/>
          <w:szCs w:val="20"/>
        </w:rPr>
        <w:t xml:space="preserve"> student retention.</w:t>
      </w:r>
    </w:p>
    <w:p w:rsidR="00123304" w:rsidRDefault="00123304" w:rsidP="00D44B59">
      <w:pPr>
        <w:spacing w:after="200"/>
        <w:ind w:left="360"/>
        <w:rPr>
          <w:rFonts w:ascii="Arial" w:hAnsi="Arial" w:cs="Arial"/>
          <w:sz w:val="20"/>
          <w:szCs w:val="20"/>
        </w:rPr>
      </w:pPr>
    </w:p>
    <w:p w:rsidR="00B84B5A" w:rsidRDefault="00B84B5A" w:rsidP="00D44B59">
      <w:pPr>
        <w:spacing w:after="200"/>
        <w:ind w:left="360"/>
        <w:rPr>
          <w:rFonts w:ascii="Arial" w:hAnsi="Arial" w:cs="Arial"/>
          <w:sz w:val="20"/>
          <w:szCs w:val="20"/>
        </w:rPr>
      </w:pPr>
      <w:r>
        <w:rPr>
          <w:rFonts w:ascii="Arial" w:hAnsi="Arial" w:cs="Arial"/>
          <w:sz w:val="20"/>
          <w:szCs w:val="20"/>
        </w:rPr>
        <w:t>It was Susan Powers</w:t>
      </w:r>
      <w:r w:rsidR="00490B31">
        <w:rPr>
          <w:rFonts w:ascii="Arial" w:hAnsi="Arial" w:cs="Arial"/>
          <w:sz w:val="20"/>
          <w:szCs w:val="20"/>
        </w:rPr>
        <w:t>’</w:t>
      </w:r>
      <w:r>
        <w:rPr>
          <w:rFonts w:ascii="Arial" w:hAnsi="Arial" w:cs="Arial"/>
          <w:sz w:val="20"/>
          <w:szCs w:val="20"/>
        </w:rPr>
        <w:t xml:space="preserve"> conclusion that </w:t>
      </w:r>
      <w:r w:rsidRPr="00B84B5A">
        <w:rPr>
          <w:rFonts w:ascii="Arial" w:hAnsi="Arial" w:cs="Arial"/>
          <w:sz w:val="20"/>
          <w:szCs w:val="20"/>
        </w:rPr>
        <w:t xml:space="preserve">if we change </w:t>
      </w:r>
      <w:r>
        <w:rPr>
          <w:rFonts w:ascii="Arial" w:hAnsi="Arial" w:cs="Arial"/>
          <w:sz w:val="20"/>
          <w:szCs w:val="20"/>
        </w:rPr>
        <w:t>nothing</w:t>
      </w:r>
      <w:r w:rsidRPr="00B84B5A">
        <w:rPr>
          <w:rFonts w:ascii="Arial" w:hAnsi="Arial" w:cs="Arial"/>
          <w:sz w:val="20"/>
          <w:szCs w:val="20"/>
        </w:rPr>
        <w:t xml:space="preserve"> we are in compliance with the statewide transfer core policies.  If we adopt the new policy, we are out of compliance with our agreement with the state and will need to do something.</w:t>
      </w:r>
      <w:r>
        <w:rPr>
          <w:rFonts w:ascii="Arial" w:hAnsi="Arial" w:cs="Arial"/>
          <w:sz w:val="20"/>
          <w:szCs w:val="20"/>
        </w:rPr>
        <w:t xml:space="preserve">  No further action was taken on this issue.</w:t>
      </w:r>
    </w:p>
    <w:sectPr w:rsidR="00B84B5A" w:rsidSect="004F60E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977"/>
    <w:multiLevelType w:val="hybridMultilevel"/>
    <w:tmpl w:val="CD327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F31B6"/>
    <w:multiLevelType w:val="hybridMultilevel"/>
    <w:tmpl w:val="7056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7374C"/>
    <w:multiLevelType w:val="hybridMultilevel"/>
    <w:tmpl w:val="8E0874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162C95"/>
    <w:multiLevelType w:val="hybridMultilevel"/>
    <w:tmpl w:val="D784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5038B"/>
    <w:multiLevelType w:val="hybridMultilevel"/>
    <w:tmpl w:val="E91E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B0D2C"/>
    <w:multiLevelType w:val="hybridMultilevel"/>
    <w:tmpl w:val="1CE276FC"/>
    <w:lvl w:ilvl="0" w:tplc="CC40366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315D1"/>
    <w:multiLevelType w:val="hybridMultilevel"/>
    <w:tmpl w:val="6234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F30C4"/>
    <w:multiLevelType w:val="hybridMultilevel"/>
    <w:tmpl w:val="16BC7B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07FD7"/>
    <w:multiLevelType w:val="hybridMultilevel"/>
    <w:tmpl w:val="5EA4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67E08"/>
    <w:multiLevelType w:val="hybridMultilevel"/>
    <w:tmpl w:val="81B228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C91D7E"/>
    <w:multiLevelType w:val="hybridMultilevel"/>
    <w:tmpl w:val="6E52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B14EE"/>
    <w:multiLevelType w:val="hybridMultilevel"/>
    <w:tmpl w:val="D598DB9A"/>
    <w:lvl w:ilvl="0" w:tplc="BD70165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D1EF4"/>
    <w:multiLevelType w:val="hybridMultilevel"/>
    <w:tmpl w:val="73EA6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B60D4D"/>
    <w:multiLevelType w:val="hybridMultilevel"/>
    <w:tmpl w:val="14DECCCE"/>
    <w:lvl w:ilvl="0" w:tplc="02FCD1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620EA"/>
    <w:multiLevelType w:val="hybridMultilevel"/>
    <w:tmpl w:val="704A21F4"/>
    <w:lvl w:ilvl="0" w:tplc="93D6DD74">
      <w:start w:val="1"/>
      <w:numFmt w:val="decimal"/>
      <w:lvlText w:val="%1."/>
      <w:lvlJc w:val="left"/>
      <w:pPr>
        <w:ind w:left="720" w:hanging="36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07BEA"/>
    <w:multiLevelType w:val="hybridMultilevel"/>
    <w:tmpl w:val="DFDE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272E0"/>
    <w:multiLevelType w:val="hybridMultilevel"/>
    <w:tmpl w:val="35CE9898"/>
    <w:lvl w:ilvl="0" w:tplc="5008C7F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507B99"/>
    <w:multiLevelType w:val="hybridMultilevel"/>
    <w:tmpl w:val="34B4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64EC0"/>
    <w:multiLevelType w:val="hybridMultilevel"/>
    <w:tmpl w:val="61EAE30A"/>
    <w:lvl w:ilvl="0" w:tplc="E51CEDF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C14950"/>
    <w:multiLevelType w:val="hybridMultilevel"/>
    <w:tmpl w:val="339C4570"/>
    <w:lvl w:ilvl="0" w:tplc="327AB816">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68B"/>
    <w:multiLevelType w:val="hybridMultilevel"/>
    <w:tmpl w:val="7F322B2C"/>
    <w:lvl w:ilvl="0" w:tplc="E9227DB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A5522F"/>
    <w:multiLevelType w:val="hybridMultilevel"/>
    <w:tmpl w:val="F6CA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713F6"/>
    <w:multiLevelType w:val="hybridMultilevel"/>
    <w:tmpl w:val="3AFC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62831"/>
    <w:multiLevelType w:val="hybridMultilevel"/>
    <w:tmpl w:val="DAEE63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2"/>
  </w:num>
  <w:num w:numId="4">
    <w:abstractNumId w:val="6"/>
  </w:num>
  <w:num w:numId="5">
    <w:abstractNumId w:val="8"/>
  </w:num>
  <w:num w:numId="6">
    <w:abstractNumId w:val="15"/>
  </w:num>
  <w:num w:numId="7">
    <w:abstractNumId w:val="17"/>
  </w:num>
  <w:num w:numId="8">
    <w:abstractNumId w:val="3"/>
  </w:num>
  <w:num w:numId="9">
    <w:abstractNumId w:val="4"/>
  </w:num>
  <w:num w:numId="10">
    <w:abstractNumId w:val="10"/>
  </w:num>
  <w:num w:numId="11">
    <w:abstractNumId w:val="11"/>
  </w:num>
  <w:num w:numId="12">
    <w:abstractNumId w:val="13"/>
  </w:num>
  <w:num w:numId="13">
    <w:abstractNumId w:val="18"/>
  </w:num>
  <w:num w:numId="14">
    <w:abstractNumId w:val="23"/>
  </w:num>
  <w:num w:numId="15">
    <w:abstractNumId w:val="7"/>
  </w:num>
  <w:num w:numId="16">
    <w:abstractNumId w:val="21"/>
  </w:num>
  <w:num w:numId="17">
    <w:abstractNumId w:val="0"/>
  </w:num>
  <w:num w:numId="18">
    <w:abstractNumId w:val="19"/>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14"/>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6A"/>
    <w:rsid w:val="00000331"/>
    <w:rsid w:val="00006C9C"/>
    <w:rsid w:val="00017F50"/>
    <w:rsid w:val="00021244"/>
    <w:rsid w:val="000405DA"/>
    <w:rsid w:val="000407A0"/>
    <w:rsid w:val="000451D3"/>
    <w:rsid w:val="00050CF0"/>
    <w:rsid w:val="00067E9C"/>
    <w:rsid w:val="000A18CC"/>
    <w:rsid w:val="000B0B9F"/>
    <w:rsid w:val="000C0CBB"/>
    <w:rsid w:val="000D1365"/>
    <w:rsid w:val="000D26FE"/>
    <w:rsid w:val="000D3D60"/>
    <w:rsid w:val="000D50F7"/>
    <w:rsid w:val="000F289F"/>
    <w:rsid w:val="00104667"/>
    <w:rsid w:val="001069A1"/>
    <w:rsid w:val="00113246"/>
    <w:rsid w:val="0011386F"/>
    <w:rsid w:val="001157DA"/>
    <w:rsid w:val="001168C7"/>
    <w:rsid w:val="0012323D"/>
    <w:rsid w:val="00123304"/>
    <w:rsid w:val="00142012"/>
    <w:rsid w:val="001518BE"/>
    <w:rsid w:val="00152F3D"/>
    <w:rsid w:val="00154FF9"/>
    <w:rsid w:val="001920B2"/>
    <w:rsid w:val="001A7DE6"/>
    <w:rsid w:val="001B6DF7"/>
    <w:rsid w:val="001C0FD7"/>
    <w:rsid w:val="001D38CB"/>
    <w:rsid w:val="001E5D67"/>
    <w:rsid w:val="001E716A"/>
    <w:rsid w:val="001F4D5B"/>
    <w:rsid w:val="002073AA"/>
    <w:rsid w:val="00207947"/>
    <w:rsid w:val="002365D1"/>
    <w:rsid w:val="002434E2"/>
    <w:rsid w:val="00243D36"/>
    <w:rsid w:val="00244F6E"/>
    <w:rsid w:val="00245962"/>
    <w:rsid w:val="00264730"/>
    <w:rsid w:val="0027364C"/>
    <w:rsid w:val="00284041"/>
    <w:rsid w:val="00287343"/>
    <w:rsid w:val="00291180"/>
    <w:rsid w:val="002B057F"/>
    <w:rsid w:val="002B29B4"/>
    <w:rsid w:val="002D4308"/>
    <w:rsid w:val="002E0B05"/>
    <w:rsid w:val="002E30D3"/>
    <w:rsid w:val="002F1A10"/>
    <w:rsid w:val="002F37B2"/>
    <w:rsid w:val="002F4C30"/>
    <w:rsid w:val="00301941"/>
    <w:rsid w:val="00314343"/>
    <w:rsid w:val="00317949"/>
    <w:rsid w:val="003241BC"/>
    <w:rsid w:val="00331420"/>
    <w:rsid w:val="0033656E"/>
    <w:rsid w:val="00347E15"/>
    <w:rsid w:val="00361FCD"/>
    <w:rsid w:val="0037603F"/>
    <w:rsid w:val="0037736A"/>
    <w:rsid w:val="0039637A"/>
    <w:rsid w:val="003A0A38"/>
    <w:rsid w:val="003A4FC9"/>
    <w:rsid w:val="003B744A"/>
    <w:rsid w:val="003E12E5"/>
    <w:rsid w:val="003E62D9"/>
    <w:rsid w:val="003F6249"/>
    <w:rsid w:val="003F7968"/>
    <w:rsid w:val="00405C82"/>
    <w:rsid w:val="00446ADE"/>
    <w:rsid w:val="00454F7D"/>
    <w:rsid w:val="004620AD"/>
    <w:rsid w:val="00474682"/>
    <w:rsid w:val="00474845"/>
    <w:rsid w:val="00486581"/>
    <w:rsid w:val="00487E6D"/>
    <w:rsid w:val="00490B31"/>
    <w:rsid w:val="004946FA"/>
    <w:rsid w:val="004B7706"/>
    <w:rsid w:val="004B779A"/>
    <w:rsid w:val="004B7B66"/>
    <w:rsid w:val="004C5320"/>
    <w:rsid w:val="004C5A5D"/>
    <w:rsid w:val="004D0DEC"/>
    <w:rsid w:val="004D1CDF"/>
    <w:rsid w:val="004D6D76"/>
    <w:rsid w:val="004E24DE"/>
    <w:rsid w:val="004E6764"/>
    <w:rsid w:val="004F3755"/>
    <w:rsid w:val="004F60E5"/>
    <w:rsid w:val="00526BF6"/>
    <w:rsid w:val="005304D6"/>
    <w:rsid w:val="00541C2B"/>
    <w:rsid w:val="00573AA6"/>
    <w:rsid w:val="0057733E"/>
    <w:rsid w:val="005842A7"/>
    <w:rsid w:val="005B1538"/>
    <w:rsid w:val="005B28D4"/>
    <w:rsid w:val="005E4D4A"/>
    <w:rsid w:val="00604353"/>
    <w:rsid w:val="006140EC"/>
    <w:rsid w:val="006226DE"/>
    <w:rsid w:val="00626C7D"/>
    <w:rsid w:val="00660003"/>
    <w:rsid w:val="00695174"/>
    <w:rsid w:val="006A6D75"/>
    <w:rsid w:val="006B55CA"/>
    <w:rsid w:val="006F01DC"/>
    <w:rsid w:val="006F1E3A"/>
    <w:rsid w:val="006F7300"/>
    <w:rsid w:val="007228AF"/>
    <w:rsid w:val="00735B01"/>
    <w:rsid w:val="0074726E"/>
    <w:rsid w:val="007509F6"/>
    <w:rsid w:val="00762BE7"/>
    <w:rsid w:val="00771D94"/>
    <w:rsid w:val="0077324E"/>
    <w:rsid w:val="00773949"/>
    <w:rsid w:val="007963D0"/>
    <w:rsid w:val="007A21B3"/>
    <w:rsid w:val="007A235F"/>
    <w:rsid w:val="0081715B"/>
    <w:rsid w:val="00830048"/>
    <w:rsid w:val="008361B9"/>
    <w:rsid w:val="00842C69"/>
    <w:rsid w:val="00850532"/>
    <w:rsid w:val="0089426B"/>
    <w:rsid w:val="008B07AF"/>
    <w:rsid w:val="008E45A1"/>
    <w:rsid w:val="00906112"/>
    <w:rsid w:val="009211F9"/>
    <w:rsid w:val="00923E3A"/>
    <w:rsid w:val="00926F55"/>
    <w:rsid w:val="0093581D"/>
    <w:rsid w:val="00945450"/>
    <w:rsid w:val="009512AA"/>
    <w:rsid w:val="0097540C"/>
    <w:rsid w:val="00984932"/>
    <w:rsid w:val="009935BF"/>
    <w:rsid w:val="009B30A4"/>
    <w:rsid w:val="009D19F5"/>
    <w:rsid w:val="00A05717"/>
    <w:rsid w:val="00A105FC"/>
    <w:rsid w:val="00A21E65"/>
    <w:rsid w:val="00A40D13"/>
    <w:rsid w:val="00A70908"/>
    <w:rsid w:val="00A75C24"/>
    <w:rsid w:val="00A927F8"/>
    <w:rsid w:val="00AB071B"/>
    <w:rsid w:val="00AC4D8B"/>
    <w:rsid w:val="00AD57B2"/>
    <w:rsid w:val="00AF027B"/>
    <w:rsid w:val="00B01BFA"/>
    <w:rsid w:val="00B056AD"/>
    <w:rsid w:val="00B17F72"/>
    <w:rsid w:val="00B467D5"/>
    <w:rsid w:val="00B5309F"/>
    <w:rsid w:val="00B554F2"/>
    <w:rsid w:val="00B60D98"/>
    <w:rsid w:val="00B61615"/>
    <w:rsid w:val="00B61C26"/>
    <w:rsid w:val="00B6238B"/>
    <w:rsid w:val="00B64971"/>
    <w:rsid w:val="00B66A2B"/>
    <w:rsid w:val="00B84B5A"/>
    <w:rsid w:val="00B97EBA"/>
    <w:rsid w:val="00BA7ABE"/>
    <w:rsid w:val="00BB2221"/>
    <w:rsid w:val="00BC7281"/>
    <w:rsid w:val="00BE4BE7"/>
    <w:rsid w:val="00BE61AF"/>
    <w:rsid w:val="00C04F2F"/>
    <w:rsid w:val="00C05DE1"/>
    <w:rsid w:val="00C14107"/>
    <w:rsid w:val="00C1584F"/>
    <w:rsid w:val="00C211A4"/>
    <w:rsid w:val="00C3424D"/>
    <w:rsid w:val="00C4620D"/>
    <w:rsid w:val="00C62C25"/>
    <w:rsid w:val="00C65292"/>
    <w:rsid w:val="00C738E8"/>
    <w:rsid w:val="00C811CA"/>
    <w:rsid w:val="00C836DC"/>
    <w:rsid w:val="00C853EB"/>
    <w:rsid w:val="00CA32BF"/>
    <w:rsid w:val="00CB04E9"/>
    <w:rsid w:val="00CC2CFC"/>
    <w:rsid w:val="00CC5481"/>
    <w:rsid w:val="00CD3AED"/>
    <w:rsid w:val="00CD7997"/>
    <w:rsid w:val="00D12D9C"/>
    <w:rsid w:val="00D22816"/>
    <w:rsid w:val="00D42F3E"/>
    <w:rsid w:val="00D44B59"/>
    <w:rsid w:val="00D92396"/>
    <w:rsid w:val="00D93B9F"/>
    <w:rsid w:val="00DB2E9E"/>
    <w:rsid w:val="00DC1CD7"/>
    <w:rsid w:val="00DC5852"/>
    <w:rsid w:val="00DD74FB"/>
    <w:rsid w:val="00DF3A99"/>
    <w:rsid w:val="00E94CEE"/>
    <w:rsid w:val="00E956F2"/>
    <w:rsid w:val="00EB5893"/>
    <w:rsid w:val="00F0019D"/>
    <w:rsid w:val="00F10F1C"/>
    <w:rsid w:val="00F208CC"/>
    <w:rsid w:val="00F32361"/>
    <w:rsid w:val="00F467C9"/>
    <w:rsid w:val="00F5193B"/>
    <w:rsid w:val="00F6226B"/>
    <w:rsid w:val="00F661BF"/>
    <w:rsid w:val="00F77C76"/>
    <w:rsid w:val="00F961C0"/>
    <w:rsid w:val="00FB71A8"/>
    <w:rsid w:val="00FC1842"/>
    <w:rsid w:val="00FC2016"/>
    <w:rsid w:val="00FD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9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779A"/>
    <w:pPr>
      <w:spacing w:before="100" w:beforeAutospacing="1" w:after="100" w:afterAutospacing="1"/>
    </w:pPr>
    <w:rPr>
      <w:rFonts w:ascii="Arial" w:hAnsi="Arial" w:cs="Arial"/>
    </w:rPr>
  </w:style>
  <w:style w:type="character" w:customStyle="1" w:styleId="PlainTextChar">
    <w:name w:val="Plain Text Char"/>
    <w:basedOn w:val="DefaultParagraphFont"/>
    <w:link w:val="PlainText"/>
    <w:uiPriority w:val="99"/>
    <w:rsid w:val="004B779A"/>
    <w:rPr>
      <w:rFonts w:ascii="Arial" w:hAnsi="Arial" w:cs="Arial"/>
      <w:sz w:val="24"/>
      <w:szCs w:val="24"/>
    </w:rPr>
  </w:style>
  <w:style w:type="paragraph" w:styleId="ListParagraph">
    <w:name w:val="List Paragraph"/>
    <w:basedOn w:val="Normal"/>
    <w:uiPriority w:val="34"/>
    <w:qFormat/>
    <w:rsid w:val="00A05717"/>
    <w:pPr>
      <w:ind w:left="720"/>
      <w:contextualSpacing/>
    </w:pPr>
  </w:style>
  <w:style w:type="paragraph" w:customStyle="1" w:styleId="Default">
    <w:name w:val="Default"/>
    <w:rsid w:val="00695174"/>
    <w:pPr>
      <w:autoSpaceDE w:val="0"/>
      <w:autoSpaceDN w:val="0"/>
      <w:adjustRightInd w:val="0"/>
    </w:pPr>
    <w:rPr>
      <w:color w:val="000000"/>
      <w:sz w:val="24"/>
      <w:szCs w:val="24"/>
    </w:rPr>
  </w:style>
  <w:style w:type="character" w:styleId="Emphasis">
    <w:name w:val="Emphasis"/>
    <w:basedOn w:val="DefaultParagraphFont"/>
    <w:uiPriority w:val="20"/>
    <w:qFormat/>
    <w:rsid w:val="00E956F2"/>
    <w:rPr>
      <w:b/>
      <w:bCs/>
      <w:i w:val="0"/>
      <w:iCs w:val="0"/>
    </w:rPr>
  </w:style>
  <w:style w:type="table" w:styleId="TableGrid">
    <w:name w:val="Table Grid"/>
    <w:basedOn w:val="TableNormal"/>
    <w:uiPriority w:val="59"/>
    <w:rsid w:val="00D42F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28AF"/>
    <w:rPr>
      <w:color w:val="0000FF"/>
      <w:u w:val="single"/>
    </w:rPr>
  </w:style>
  <w:style w:type="paragraph" w:styleId="Footer">
    <w:name w:val="footer"/>
    <w:basedOn w:val="Normal"/>
    <w:link w:val="FooterChar"/>
    <w:rsid w:val="00FD271F"/>
    <w:pPr>
      <w:tabs>
        <w:tab w:val="center" w:pos="4680"/>
        <w:tab w:val="right" w:pos="9360"/>
      </w:tabs>
    </w:pPr>
  </w:style>
  <w:style w:type="character" w:customStyle="1" w:styleId="FooterChar">
    <w:name w:val="Footer Char"/>
    <w:basedOn w:val="DefaultParagraphFont"/>
    <w:link w:val="Footer"/>
    <w:rsid w:val="00FD271F"/>
    <w:rPr>
      <w:sz w:val="24"/>
      <w:szCs w:val="24"/>
    </w:rPr>
  </w:style>
  <w:style w:type="paragraph" w:styleId="BodyText">
    <w:name w:val="Body Text"/>
    <w:basedOn w:val="Normal"/>
    <w:link w:val="BodyTextChar"/>
    <w:unhideWhenUsed/>
    <w:qFormat/>
    <w:rsid w:val="00AC4D8B"/>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AC4D8B"/>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9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779A"/>
    <w:pPr>
      <w:spacing w:before="100" w:beforeAutospacing="1" w:after="100" w:afterAutospacing="1"/>
    </w:pPr>
    <w:rPr>
      <w:rFonts w:ascii="Arial" w:hAnsi="Arial" w:cs="Arial"/>
    </w:rPr>
  </w:style>
  <w:style w:type="character" w:customStyle="1" w:styleId="PlainTextChar">
    <w:name w:val="Plain Text Char"/>
    <w:basedOn w:val="DefaultParagraphFont"/>
    <w:link w:val="PlainText"/>
    <w:uiPriority w:val="99"/>
    <w:rsid w:val="004B779A"/>
    <w:rPr>
      <w:rFonts w:ascii="Arial" w:hAnsi="Arial" w:cs="Arial"/>
      <w:sz w:val="24"/>
      <w:szCs w:val="24"/>
    </w:rPr>
  </w:style>
  <w:style w:type="paragraph" w:styleId="ListParagraph">
    <w:name w:val="List Paragraph"/>
    <w:basedOn w:val="Normal"/>
    <w:uiPriority w:val="34"/>
    <w:qFormat/>
    <w:rsid w:val="00A05717"/>
    <w:pPr>
      <w:ind w:left="720"/>
      <w:contextualSpacing/>
    </w:pPr>
  </w:style>
  <w:style w:type="paragraph" w:customStyle="1" w:styleId="Default">
    <w:name w:val="Default"/>
    <w:rsid w:val="00695174"/>
    <w:pPr>
      <w:autoSpaceDE w:val="0"/>
      <w:autoSpaceDN w:val="0"/>
      <w:adjustRightInd w:val="0"/>
    </w:pPr>
    <w:rPr>
      <w:color w:val="000000"/>
      <w:sz w:val="24"/>
      <w:szCs w:val="24"/>
    </w:rPr>
  </w:style>
  <w:style w:type="character" w:styleId="Emphasis">
    <w:name w:val="Emphasis"/>
    <w:basedOn w:val="DefaultParagraphFont"/>
    <w:uiPriority w:val="20"/>
    <w:qFormat/>
    <w:rsid w:val="00E956F2"/>
    <w:rPr>
      <w:b/>
      <w:bCs/>
      <w:i w:val="0"/>
      <w:iCs w:val="0"/>
    </w:rPr>
  </w:style>
  <w:style w:type="table" w:styleId="TableGrid">
    <w:name w:val="Table Grid"/>
    <w:basedOn w:val="TableNormal"/>
    <w:uiPriority w:val="59"/>
    <w:rsid w:val="00D42F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28AF"/>
    <w:rPr>
      <w:color w:val="0000FF"/>
      <w:u w:val="single"/>
    </w:rPr>
  </w:style>
  <w:style w:type="paragraph" w:styleId="Footer">
    <w:name w:val="footer"/>
    <w:basedOn w:val="Normal"/>
    <w:link w:val="FooterChar"/>
    <w:rsid w:val="00FD271F"/>
    <w:pPr>
      <w:tabs>
        <w:tab w:val="center" w:pos="4680"/>
        <w:tab w:val="right" w:pos="9360"/>
      </w:tabs>
    </w:pPr>
  </w:style>
  <w:style w:type="character" w:customStyle="1" w:styleId="FooterChar">
    <w:name w:val="Footer Char"/>
    <w:basedOn w:val="DefaultParagraphFont"/>
    <w:link w:val="Footer"/>
    <w:rsid w:val="00FD271F"/>
    <w:rPr>
      <w:sz w:val="24"/>
      <w:szCs w:val="24"/>
    </w:rPr>
  </w:style>
  <w:style w:type="paragraph" w:styleId="BodyText">
    <w:name w:val="Body Text"/>
    <w:basedOn w:val="Normal"/>
    <w:link w:val="BodyTextChar"/>
    <w:unhideWhenUsed/>
    <w:qFormat/>
    <w:rsid w:val="00AC4D8B"/>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AC4D8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7632">
      <w:bodyDiv w:val="1"/>
      <w:marLeft w:val="0"/>
      <w:marRight w:val="0"/>
      <w:marTop w:val="0"/>
      <w:marBottom w:val="0"/>
      <w:divBdr>
        <w:top w:val="none" w:sz="0" w:space="0" w:color="auto"/>
        <w:left w:val="none" w:sz="0" w:space="0" w:color="auto"/>
        <w:bottom w:val="none" w:sz="0" w:space="0" w:color="auto"/>
        <w:right w:val="none" w:sz="0" w:space="0" w:color="auto"/>
      </w:divBdr>
    </w:div>
    <w:div w:id="504126904">
      <w:bodyDiv w:val="1"/>
      <w:marLeft w:val="0"/>
      <w:marRight w:val="0"/>
      <w:marTop w:val="0"/>
      <w:marBottom w:val="0"/>
      <w:divBdr>
        <w:top w:val="none" w:sz="0" w:space="0" w:color="auto"/>
        <w:left w:val="none" w:sz="0" w:space="0" w:color="auto"/>
        <w:bottom w:val="none" w:sz="0" w:space="0" w:color="auto"/>
        <w:right w:val="none" w:sz="0" w:space="0" w:color="auto"/>
      </w:divBdr>
      <w:divsChild>
        <w:div w:id="1787038418">
          <w:marLeft w:val="0"/>
          <w:marRight w:val="0"/>
          <w:marTop w:val="0"/>
          <w:marBottom w:val="0"/>
          <w:divBdr>
            <w:top w:val="none" w:sz="0" w:space="0" w:color="auto"/>
            <w:left w:val="none" w:sz="0" w:space="0" w:color="auto"/>
            <w:bottom w:val="none" w:sz="0" w:space="0" w:color="auto"/>
            <w:right w:val="none" w:sz="0" w:space="0" w:color="auto"/>
          </w:divBdr>
          <w:divsChild>
            <w:div w:id="18588068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146491">
      <w:bodyDiv w:val="1"/>
      <w:marLeft w:val="0"/>
      <w:marRight w:val="0"/>
      <w:marTop w:val="0"/>
      <w:marBottom w:val="0"/>
      <w:divBdr>
        <w:top w:val="none" w:sz="0" w:space="0" w:color="auto"/>
        <w:left w:val="none" w:sz="0" w:space="0" w:color="auto"/>
        <w:bottom w:val="none" w:sz="0" w:space="0" w:color="auto"/>
        <w:right w:val="none" w:sz="0" w:space="0" w:color="auto"/>
      </w:divBdr>
    </w:div>
    <w:div w:id="1108622021">
      <w:bodyDiv w:val="1"/>
      <w:marLeft w:val="0"/>
      <w:marRight w:val="0"/>
      <w:marTop w:val="0"/>
      <w:marBottom w:val="0"/>
      <w:divBdr>
        <w:top w:val="none" w:sz="0" w:space="0" w:color="auto"/>
        <w:left w:val="none" w:sz="0" w:space="0" w:color="auto"/>
        <w:bottom w:val="none" w:sz="0" w:space="0" w:color="auto"/>
        <w:right w:val="none" w:sz="0" w:space="0" w:color="auto"/>
      </w:divBdr>
    </w:div>
    <w:div w:id="1376005117">
      <w:bodyDiv w:val="1"/>
      <w:marLeft w:val="0"/>
      <w:marRight w:val="0"/>
      <w:marTop w:val="0"/>
      <w:marBottom w:val="0"/>
      <w:divBdr>
        <w:top w:val="none" w:sz="0" w:space="0" w:color="auto"/>
        <w:left w:val="none" w:sz="0" w:space="0" w:color="auto"/>
        <w:bottom w:val="none" w:sz="0" w:space="0" w:color="auto"/>
        <w:right w:val="none" w:sz="0" w:space="0" w:color="auto"/>
      </w:divBdr>
    </w:div>
    <w:div w:id="20158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edu/financialaid/grantsloans/title_iv_retur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3987</TotalTime>
  <Pages>8</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Charges/Projects for next year’s senate</vt:lpstr>
    </vt:vector>
  </TitlesOfParts>
  <Company>Indiana State University</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Charges/Projects for next year’s senate</dc:title>
  <dc:creator>ISU</dc:creator>
  <cp:lastModifiedBy>Jim Buffington</cp:lastModifiedBy>
  <cp:revision>26</cp:revision>
  <dcterms:created xsi:type="dcterms:W3CDTF">2013-04-03T20:28:00Z</dcterms:created>
  <dcterms:modified xsi:type="dcterms:W3CDTF">2013-05-15T20:38:00Z</dcterms:modified>
</cp:coreProperties>
</file>